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0B5" w:rsidRPr="003370B5" w:rsidRDefault="003370B5" w:rsidP="003370B5">
      <w:pPr>
        <w:spacing w:after="240" w:line="240" w:lineRule="auto"/>
        <w:rPr>
          <w:rFonts w:ascii="Times New Roman" w:eastAsia="Times New Roman" w:hAnsi="Times New Roman" w:cs="Times New Roman"/>
          <w:sz w:val="24"/>
          <w:szCs w:val="24"/>
          <w:lang w:eastAsia="sv-SE"/>
        </w:rPr>
      </w:pPr>
      <w:r w:rsidRPr="003370B5">
        <w:rPr>
          <w:rFonts w:ascii="Times New Roman" w:eastAsia="Times New Roman" w:hAnsi="Times New Roman" w:cs="Times New Roman"/>
          <w:color w:val="000000"/>
          <w:sz w:val="24"/>
          <w:szCs w:val="24"/>
          <w:lang w:eastAsia="sv-SE"/>
        </w:rPr>
        <w:br/>
      </w:r>
    </w:p>
    <w:p w:rsidR="003370B5" w:rsidRPr="003370B5" w:rsidRDefault="003370B5" w:rsidP="003370B5">
      <w:pPr>
        <w:spacing w:after="240" w:line="240" w:lineRule="auto"/>
        <w:rPr>
          <w:rFonts w:ascii="Times New Roman" w:eastAsia="Times New Roman" w:hAnsi="Times New Roman" w:cs="Times New Roman"/>
          <w:sz w:val="24"/>
          <w:szCs w:val="24"/>
          <w:lang w:eastAsia="sv-SE"/>
        </w:rPr>
      </w:pPr>
      <w:r w:rsidRPr="003370B5">
        <w:rPr>
          <w:rFonts w:ascii="Times New Roman" w:eastAsia="Times New Roman" w:hAnsi="Times New Roman" w:cs="Times New Roman"/>
          <w:sz w:val="24"/>
          <w:szCs w:val="24"/>
          <w:lang w:eastAsia="sv-SE"/>
        </w:rPr>
        <w:br/>
      </w:r>
      <w:r w:rsidRPr="003370B5">
        <w:rPr>
          <w:rFonts w:ascii="Times New Roman" w:eastAsia="Times New Roman" w:hAnsi="Times New Roman" w:cs="Times New Roman"/>
          <w:sz w:val="24"/>
          <w:szCs w:val="24"/>
          <w:lang w:eastAsia="sv-SE"/>
        </w:rPr>
        <w:br/>
      </w:r>
      <w:r w:rsidRPr="003370B5">
        <w:rPr>
          <w:rFonts w:ascii="Times New Roman" w:eastAsia="Times New Roman" w:hAnsi="Times New Roman" w:cs="Times New Roman"/>
          <w:sz w:val="24"/>
          <w:szCs w:val="24"/>
          <w:lang w:eastAsia="sv-SE"/>
        </w:rPr>
        <w:br/>
      </w:r>
    </w:p>
    <w:p w:rsidR="003370B5" w:rsidRPr="003370B5" w:rsidRDefault="003370B5" w:rsidP="00F258AC">
      <w:pPr>
        <w:pStyle w:val="Title"/>
        <w:rPr>
          <w:rFonts w:ascii="Times New Roman" w:eastAsia="Times New Roman" w:hAnsi="Times New Roman" w:cs="Times New Roman"/>
          <w:sz w:val="24"/>
          <w:szCs w:val="24"/>
          <w:lang w:eastAsia="sv-SE"/>
        </w:rPr>
      </w:pPr>
      <w:r w:rsidRPr="003370B5">
        <w:rPr>
          <w:rFonts w:eastAsia="Times New Roman"/>
          <w:lang w:eastAsia="sv-SE"/>
        </w:rPr>
        <w:t>Kvaliteten i konsumentelektronik</w:t>
      </w:r>
    </w:p>
    <w:p w:rsidR="003370B5" w:rsidRPr="003370B5" w:rsidRDefault="003370B5" w:rsidP="00F258AC">
      <w:pPr>
        <w:pStyle w:val="Heading2"/>
        <w:rPr>
          <w:rFonts w:ascii="Times New Roman" w:eastAsia="Times New Roman" w:hAnsi="Times New Roman" w:cs="Times New Roman"/>
          <w:sz w:val="24"/>
          <w:szCs w:val="24"/>
          <w:lang w:eastAsia="sv-SE"/>
        </w:rPr>
      </w:pPr>
      <w:bookmarkStart w:id="0" w:name="_Toc432590524"/>
      <w:r w:rsidRPr="003370B5">
        <w:rPr>
          <w:rFonts w:eastAsia="Times New Roman"/>
          <w:lang w:eastAsia="sv-SE"/>
        </w:rPr>
        <w:t>Var det bättre förr?</w:t>
      </w:r>
      <w:bookmarkEnd w:id="0"/>
    </w:p>
    <w:p w:rsidR="003370B5" w:rsidRPr="003370B5" w:rsidRDefault="003370B5" w:rsidP="003370B5">
      <w:pPr>
        <w:spacing w:after="240" w:line="240" w:lineRule="auto"/>
        <w:rPr>
          <w:rFonts w:ascii="Times New Roman" w:eastAsia="Times New Roman" w:hAnsi="Times New Roman" w:cs="Times New Roman"/>
          <w:sz w:val="24"/>
          <w:szCs w:val="24"/>
          <w:lang w:eastAsia="sv-SE"/>
        </w:rPr>
      </w:pPr>
      <w:r w:rsidRPr="003370B5">
        <w:rPr>
          <w:rFonts w:ascii="Times New Roman" w:eastAsia="Times New Roman" w:hAnsi="Times New Roman" w:cs="Times New Roman"/>
          <w:color w:val="000000"/>
          <w:sz w:val="24"/>
          <w:szCs w:val="24"/>
          <w:lang w:eastAsia="sv-SE"/>
        </w:rPr>
        <w:br/>
      </w:r>
      <w:r w:rsidRPr="003370B5">
        <w:rPr>
          <w:rFonts w:ascii="Times New Roman" w:eastAsia="Times New Roman" w:hAnsi="Times New Roman" w:cs="Times New Roman"/>
          <w:color w:val="000000"/>
          <w:sz w:val="24"/>
          <w:szCs w:val="24"/>
          <w:lang w:eastAsia="sv-SE"/>
        </w:rPr>
        <w:br/>
      </w:r>
      <w:r w:rsidRPr="003370B5">
        <w:rPr>
          <w:rFonts w:ascii="Times New Roman" w:eastAsia="Times New Roman" w:hAnsi="Times New Roman" w:cs="Times New Roman"/>
          <w:color w:val="000000"/>
          <w:sz w:val="24"/>
          <w:szCs w:val="24"/>
          <w:lang w:eastAsia="sv-SE"/>
        </w:rPr>
        <w:br/>
      </w:r>
      <w:r w:rsidRPr="003370B5">
        <w:rPr>
          <w:rFonts w:ascii="Times New Roman" w:eastAsia="Times New Roman" w:hAnsi="Times New Roman" w:cs="Times New Roman"/>
          <w:color w:val="000000"/>
          <w:sz w:val="24"/>
          <w:szCs w:val="24"/>
          <w:lang w:eastAsia="sv-SE"/>
        </w:rPr>
        <w:br/>
      </w:r>
      <w:r w:rsidRPr="003370B5">
        <w:rPr>
          <w:rFonts w:ascii="Times New Roman" w:eastAsia="Times New Roman" w:hAnsi="Times New Roman" w:cs="Times New Roman"/>
          <w:color w:val="000000"/>
          <w:sz w:val="24"/>
          <w:szCs w:val="24"/>
          <w:lang w:eastAsia="sv-SE"/>
        </w:rPr>
        <w:br/>
      </w:r>
      <w:r w:rsidRPr="003370B5">
        <w:rPr>
          <w:rFonts w:ascii="Times New Roman" w:eastAsia="Times New Roman" w:hAnsi="Times New Roman" w:cs="Times New Roman"/>
          <w:color w:val="000000"/>
          <w:sz w:val="24"/>
          <w:szCs w:val="24"/>
          <w:lang w:eastAsia="sv-SE"/>
        </w:rPr>
        <w:br/>
      </w:r>
      <w:r w:rsidRPr="003370B5">
        <w:rPr>
          <w:rFonts w:ascii="Times New Roman" w:eastAsia="Times New Roman" w:hAnsi="Times New Roman" w:cs="Times New Roman"/>
          <w:color w:val="000000"/>
          <w:sz w:val="24"/>
          <w:szCs w:val="24"/>
          <w:lang w:eastAsia="sv-SE"/>
        </w:rPr>
        <w:br/>
      </w:r>
      <w:r w:rsidRPr="003370B5">
        <w:rPr>
          <w:rFonts w:ascii="Times New Roman" w:eastAsia="Times New Roman" w:hAnsi="Times New Roman" w:cs="Times New Roman"/>
          <w:color w:val="000000"/>
          <w:sz w:val="24"/>
          <w:szCs w:val="24"/>
          <w:lang w:eastAsia="sv-SE"/>
        </w:rPr>
        <w:br/>
      </w:r>
      <w:r w:rsidRPr="003370B5">
        <w:rPr>
          <w:rFonts w:ascii="Times New Roman" w:eastAsia="Times New Roman" w:hAnsi="Times New Roman" w:cs="Times New Roman"/>
          <w:color w:val="000000"/>
          <w:sz w:val="24"/>
          <w:szCs w:val="24"/>
          <w:lang w:eastAsia="sv-SE"/>
        </w:rPr>
        <w:br/>
      </w:r>
      <w:r w:rsidRPr="003370B5">
        <w:rPr>
          <w:rFonts w:ascii="Times New Roman" w:eastAsia="Times New Roman" w:hAnsi="Times New Roman" w:cs="Times New Roman"/>
          <w:color w:val="000000"/>
          <w:sz w:val="24"/>
          <w:szCs w:val="24"/>
          <w:lang w:eastAsia="sv-SE"/>
        </w:rPr>
        <w:br/>
      </w:r>
      <w:r w:rsidRPr="003370B5">
        <w:rPr>
          <w:rFonts w:ascii="Times New Roman" w:eastAsia="Times New Roman" w:hAnsi="Times New Roman" w:cs="Times New Roman"/>
          <w:color w:val="000000"/>
          <w:sz w:val="24"/>
          <w:szCs w:val="24"/>
          <w:lang w:eastAsia="sv-SE"/>
        </w:rPr>
        <w:br/>
      </w:r>
      <w:r w:rsidRPr="003370B5">
        <w:rPr>
          <w:rFonts w:ascii="Times New Roman" w:eastAsia="Times New Roman" w:hAnsi="Times New Roman" w:cs="Times New Roman"/>
          <w:color w:val="000000"/>
          <w:sz w:val="24"/>
          <w:szCs w:val="24"/>
          <w:lang w:eastAsia="sv-SE"/>
        </w:rPr>
        <w:br/>
      </w:r>
      <w:r w:rsidRPr="003370B5">
        <w:rPr>
          <w:rFonts w:ascii="Times New Roman" w:eastAsia="Times New Roman" w:hAnsi="Times New Roman" w:cs="Times New Roman"/>
          <w:color w:val="000000"/>
          <w:sz w:val="24"/>
          <w:szCs w:val="24"/>
          <w:lang w:eastAsia="sv-SE"/>
        </w:rPr>
        <w:br/>
      </w:r>
      <w:r w:rsidRPr="003370B5">
        <w:rPr>
          <w:rFonts w:ascii="Times New Roman" w:eastAsia="Times New Roman" w:hAnsi="Times New Roman" w:cs="Times New Roman"/>
          <w:color w:val="000000"/>
          <w:sz w:val="24"/>
          <w:szCs w:val="24"/>
          <w:lang w:eastAsia="sv-SE"/>
        </w:rPr>
        <w:br/>
      </w:r>
      <w:r w:rsidRPr="003370B5">
        <w:rPr>
          <w:rFonts w:ascii="Times New Roman" w:eastAsia="Times New Roman" w:hAnsi="Times New Roman" w:cs="Times New Roman"/>
          <w:color w:val="000000"/>
          <w:sz w:val="24"/>
          <w:szCs w:val="24"/>
          <w:lang w:eastAsia="sv-SE"/>
        </w:rPr>
        <w:br/>
      </w:r>
      <w:r w:rsidRPr="003370B5">
        <w:rPr>
          <w:rFonts w:ascii="Times New Roman" w:eastAsia="Times New Roman" w:hAnsi="Times New Roman" w:cs="Times New Roman"/>
          <w:color w:val="000000"/>
          <w:sz w:val="24"/>
          <w:szCs w:val="24"/>
          <w:lang w:eastAsia="sv-SE"/>
        </w:rPr>
        <w:br/>
      </w:r>
    </w:p>
    <w:p w:rsidR="003370B5" w:rsidRDefault="003370B5" w:rsidP="003370B5">
      <w:pPr>
        <w:spacing w:after="0" w:line="240" w:lineRule="auto"/>
        <w:jc w:val="right"/>
        <w:rPr>
          <w:rFonts w:ascii="Arial" w:eastAsia="Times New Roman" w:hAnsi="Arial" w:cs="Arial"/>
          <w:color w:val="000000"/>
          <w:lang w:eastAsia="sv-SE"/>
        </w:rPr>
      </w:pPr>
    </w:p>
    <w:p w:rsidR="003370B5" w:rsidRDefault="003370B5" w:rsidP="003370B5">
      <w:pPr>
        <w:spacing w:after="0" w:line="240" w:lineRule="auto"/>
        <w:jc w:val="right"/>
        <w:rPr>
          <w:rFonts w:ascii="Arial" w:eastAsia="Times New Roman" w:hAnsi="Arial" w:cs="Arial"/>
          <w:color w:val="000000"/>
          <w:lang w:eastAsia="sv-SE"/>
        </w:rPr>
      </w:pPr>
    </w:p>
    <w:p w:rsidR="003370B5" w:rsidRDefault="003370B5" w:rsidP="003370B5">
      <w:pPr>
        <w:spacing w:after="0" w:line="240" w:lineRule="auto"/>
        <w:jc w:val="right"/>
        <w:rPr>
          <w:rFonts w:ascii="Arial" w:eastAsia="Times New Roman" w:hAnsi="Arial" w:cs="Arial"/>
          <w:color w:val="000000"/>
          <w:lang w:eastAsia="sv-SE"/>
        </w:rPr>
      </w:pPr>
    </w:p>
    <w:p w:rsidR="003370B5" w:rsidRDefault="003370B5" w:rsidP="003370B5">
      <w:pPr>
        <w:spacing w:after="0" w:line="240" w:lineRule="auto"/>
        <w:jc w:val="right"/>
        <w:rPr>
          <w:rFonts w:ascii="Arial" w:eastAsia="Times New Roman" w:hAnsi="Arial" w:cs="Arial"/>
          <w:color w:val="000000"/>
          <w:lang w:eastAsia="sv-SE"/>
        </w:rPr>
      </w:pPr>
    </w:p>
    <w:p w:rsidR="003370B5" w:rsidRDefault="003370B5" w:rsidP="003370B5">
      <w:pPr>
        <w:spacing w:after="0" w:line="240" w:lineRule="auto"/>
        <w:jc w:val="right"/>
        <w:rPr>
          <w:rFonts w:ascii="Arial" w:eastAsia="Times New Roman" w:hAnsi="Arial" w:cs="Arial"/>
          <w:color w:val="000000"/>
          <w:lang w:eastAsia="sv-SE"/>
        </w:rPr>
      </w:pPr>
    </w:p>
    <w:p w:rsidR="003370B5" w:rsidRDefault="003370B5" w:rsidP="003370B5">
      <w:pPr>
        <w:spacing w:after="0" w:line="240" w:lineRule="auto"/>
        <w:jc w:val="right"/>
        <w:rPr>
          <w:rFonts w:ascii="Arial" w:eastAsia="Times New Roman" w:hAnsi="Arial" w:cs="Arial"/>
          <w:color w:val="000000"/>
          <w:lang w:eastAsia="sv-SE"/>
        </w:rPr>
      </w:pPr>
    </w:p>
    <w:p w:rsidR="003370B5" w:rsidRDefault="003370B5" w:rsidP="003370B5">
      <w:pPr>
        <w:spacing w:after="0" w:line="240" w:lineRule="auto"/>
        <w:jc w:val="right"/>
        <w:rPr>
          <w:rFonts w:ascii="Arial" w:eastAsia="Times New Roman" w:hAnsi="Arial" w:cs="Arial"/>
          <w:color w:val="000000"/>
          <w:lang w:eastAsia="sv-SE"/>
        </w:rPr>
      </w:pPr>
    </w:p>
    <w:p w:rsidR="003370B5" w:rsidRDefault="003370B5" w:rsidP="003370B5">
      <w:pPr>
        <w:spacing w:after="0" w:line="240" w:lineRule="auto"/>
        <w:jc w:val="right"/>
        <w:rPr>
          <w:rFonts w:ascii="Arial" w:eastAsia="Times New Roman" w:hAnsi="Arial" w:cs="Arial"/>
          <w:color w:val="000000"/>
          <w:lang w:eastAsia="sv-SE"/>
        </w:rPr>
      </w:pPr>
    </w:p>
    <w:p w:rsidR="003370B5" w:rsidRDefault="003370B5" w:rsidP="003370B5">
      <w:pPr>
        <w:spacing w:after="0" w:line="240" w:lineRule="auto"/>
        <w:jc w:val="right"/>
        <w:rPr>
          <w:rFonts w:ascii="Arial" w:eastAsia="Times New Roman" w:hAnsi="Arial" w:cs="Arial"/>
          <w:color w:val="000000"/>
          <w:lang w:eastAsia="sv-SE"/>
        </w:rPr>
      </w:pPr>
    </w:p>
    <w:p w:rsidR="003370B5" w:rsidRDefault="003370B5" w:rsidP="003370B5">
      <w:pPr>
        <w:spacing w:after="0" w:line="240" w:lineRule="auto"/>
        <w:jc w:val="right"/>
        <w:rPr>
          <w:rFonts w:ascii="Arial" w:eastAsia="Times New Roman" w:hAnsi="Arial" w:cs="Arial"/>
          <w:color w:val="000000"/>
          <w:lang w:eastAsia="sv-SE"/>
        </w:rPr>
      </w:pPr>
    </w:p>
    <w:p w:rsidR="003370B5" w:rsidRDefault="003370B5" w:rsidP="003370B5">
      <w:pPr>
        <w:spacing w:after="0" w:line="240" w:lineRule="auto"/>
        <w:jc w:val="right"/>
        <w:rPr>
          <w:rFonts w:ascii="Arial" w:eastAsia="Times New Roman" w:hAnsi="Arial" w:cs="Arial"/>
          <w:color w:val="000000"/>
          <w:lang w:eastAsia="sv-SE"/>
        </w:rPr>
      </w:pPr>
    </w:p>
    <w:p w:rsidR="003370B5" w:rsidRDefault="003370B5" w:rsidP="003370B5">
      <w:pPr>
        <w:spacing w:after="0" w:line="240" w:lineRule="auto"/>
        <w:jc w:val="right"/>
        <w:rPr>
          <w:rFonts w:ascii="Arial" w:eastAsia="Times New Roman" w:hAnsi="Arial" w:cs="Arial"/>
          <w:color w:val="000000"/>
          <w:lang w:eastAsia="sv-SE"/>
        </w:rPr>
      </w:pPr>
    </w:p>
    <w:p w:rsidR="003370B5" w:rsidRPr="003370B5" w:rsidRDefault="003370B5" w:rsidP="003370B5">
      <w:pPr>
        <w:spacing w:after="0" w:line="240" w:lineRule="auto"/>
        <w:jc w:val="right"/>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 xml:space="preserve">        Av: Mattias Blinge, </w:t>
      </w:r>
    </w:p>
    <w:p w:rsidR="003370B5" w:rsidRPr="003370B5" w:rsidRDefault="003370B5" w:rsidP="003370B5">
      <w:pPr>
        <w:spacing w:after="0" w:line="240" w:lineRule="auto"/>
        <w:jc w:val="right"/>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 xml:space="preserve">John Croft, </w:t>
      </w:r>
    </w:p>
    <w:p w:rsidR="003370B5" w:rsidRPr="003370B5" w:rsidRDefault="003370B5" w:rsidP="003370B5">
      <w:pPr>
        <w:spacing w:after="0" w:line="240" w:lineRule="auto"/>
        <w:jc w:val="right"/>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Emil Eskång,</w:t>
      </w:r>
    </w:p>
    <w:p w:rsidR="003370B5" w:rsidRPr="003370B5" w:rsidRDefault="003370B5" w:rsidP="003370B5">
      <w:pPr>
        <w:spacing w:after="0" w:line="240" w:lineRule="auto"/>
        <w:jc w:val="right"/>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Benjamin Bornfleth,</w:t>
      </w:r>
    </w:p>
    <w:p w:rsidR="003370B5" w:rsidRPr="003370B5" w:rsidRDefault="003370B5" w:rsidP="003370B5">
      <w:pPr>
        <w:spacing w:after="0" w:line="240" w:lineRule="auto"/>
        <w:jc w:val="right"/>
        <w:rPr>
          <w:rFonts w:ascii="Arial" w:eastAsia="Times New Roman" w:hAnsi="Arial" w:cs="Arial"/>
          <w:color w:val="000000"/>
          <w:lang w:eastAsia="sv-SE"/>
        </w:rPr>
      </w:pPr>
      <w:r w:rsidRPr="003370B5">
        <w:rPr>
          <w:rFonts w:ascii="Arial" w:eastAsia="Times New Roman" w:hAnsi="Arial" w:cs="Arial"/>
          <w:color w:val="000000"/>
          <w:lang w:eastAsia="sv-SE"/>
        </w:rPr>
        <w:t>Henning Eggertz</w:t>
      </w:r>
    </w:p>
    <w:p w:rsidR="003370B5" w:rsidRDefault="003370B5" w:rsidP="003370B5">
      <w:pPr>
        <w:spacing w:after="0" w:line="240" w:lineRule="auto"/>
        <w:rPr>
          <w:rFonts w:ascii="Arial" w:eastAsia="Times New Roman" w:hAnsi="Arial" w:cs="Arial"/>
          <w:color w:val="000000"/>
          <w:lang w:eastAsia="sv-SE"/>
        </w:rPr>
      </w:pPr>
      <w:r w:rsidRPr="003370B5">
        <w:rPr>
          <w:rFonts w:ascii="Arial" w:eastAsia="Times New Roman" w:hAnsi="Arial" w:cs="Arial"/>
          <w:color w:val="000000"/>
          <w:lang w:eastAsia="sv-SE"/>
        </w:rPr>
        <w:t>LSP300, 20151007.</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F258AC" w:rsidRDefault="00F258AC">
      <w:pPr>
        <w:rPr>
          <w:rFonts w:ascii="Arial" w:eastAsia="Times New Roman" w:hAnsi="Arial" w:cs="Arial"/>
          <w:color w:val="000000"/>
          <w:sz w:val="36"/>
          <w:szCs w:val="36"/>
          <w:u w:val="single"/>
          <w:lang w:eastAsia="sv-SE"/>
        </w:rPr>
      </w:pPr>
      <w:r>
        <w:rPr>
          <w:rFonts w:ascii="Arial" w:eastAsia="Times New Roman" w:hAnsi="Arial" w:cs="Arial"/>
          <w:color w:val="000000"/>
          <w:sz w:val="36"/>
          <w:szCs w:val="36"/>
          <w:u w:val="single"/>
          <w:lang w:eastAsia="sv-SE"/>
        </w:rPr>
        <w:br w:type="page"/>
      </w:r>
    </w:p>
    <w:sdt>
      <w:sdtPr>
        <w:id w:val="1026214212"/>
        <w:docPartObj>
          <w:docPartGallery w:val="Table of Contents"/>
          <w:docPartUnique/>
        </w:docPartObj>
      </w:sdtPr>
      <w:sdtEndPr>
        <w:rPr>
          <w:rFonts w:asciiTheme="minorHAnsi" w:eastAsiaTheme="minorHAnsi" w:hAnsiTheme="minorHAnsi" w:cstheme="minorBidi"/>
          <w:b/>
          <w:bCs/>
          <w:noProof/>
          <w:color w:val="auto"/>
          <w:sz w:val="22"/>
          <w:szCs w:val="22"/>
          <w:lang w:val="sv-SE"/>
        </w:rPr>
      </w:sdtEndPr>
      <w:sdtContent>
        <w:p w:rsidR="00F258AC" w:rsidRPr="00AC71C2" w:rsidRDefault="00AC71C2">
          <w:pPr>
            <w:pStyle w:val="TOCHeading"/>
            <w:rPr>
              <w:color w:val="auto"/>
              <w:sz w:val="44"/>
              <w:szCs w:val="44"/>
            </w:rPr>
          </w:pPr>
          <w:r w:rsidRPr="00AC71C2">
            <w:rPr>
              <w:color w:val="auto"/>
              <w:sz w:val="44"/>
              <w:szCs w:val="44"/>
            </w:rPr>
            <w:t>Innehållsförteckning</w:t>
          </w:r>
          <w:bookmarkStart w:id="1" w:name="_GoBack"/>
          <w:bookmarkEnd w:id="1"/>
        </w:p>
        <w:p w:rsidR="00AC71C2" w:rsidRPr="00AC71C2" w:rsidRDefault="00F258AC" w:rsidP="00AC71C2">
          <w:pPr>
            <w:pStyle w:val="TOC2"/>
            <w:tabs>
              <w:tab w:val="right" w:leader="dot" w:pos="9062"/>
            </w:tabs>
            <w:spacing w:line="480" w:lineRule="auto"/>
            <w:rPr>
              <w:rFonts w:eastAsiaTheme="minorEastAsia"/>
              <w:noProof/>
              <w:sz w:val="36"/>
              <w:szCs w:val="36"/>
              <w:lang w:eastAsia="sv-SE"/>
            </w:rPr>
          </w:pPr>
          <w:r w:rsidRPr="00AC71C2">
            <w:rPr>
              <w:sz w:val="36"/>
              <w:szCs w:val="36"/>
            </w:rPr>
            <w:fldChar w:fldCharType="begin"/>
          </w:r>
          <w:r w:rsidRPr="00AC71C2">
            <w:rPr>
              <w:sz w:val="36"/>
              <w:szCs w:val="36"/>
            </w:rPr>
            <w:instrText xml:space="preserve"> TOC \o "1-3" \h \z \u </w:instrText>
          </w:r>
          <w:r w:rsidRPr="00AC71C2">
            <w:rPr>
              <w:sz w:val="36"/>
              <w:szCs w:val="36"/>
            </w:rPr>
            <w:fldChar w:fldCharType="separate"/>
          </w:r>
          <w:hyperlink w:anchor="_Toc432590524" w:history="1">
            <w:r w:rsidR="00AC71C2" w:rsidRPr="00AC71C2">
              <w:rPr>
                <w:rStyle w:val="Hyperlink"/>
                <w:rFonts w:eastAsia="Times New Roman"/>
                <w:noProof/>
                <w:sz w:val="36"/>
                <w:szCs w:val="36"/>
                <w:lang w:eastAsia="sv-SE"/>
              </w:rPr>
              <w:t>Var det bättre förr?</w:t>
            </w:r>
            <w:r w:rsidR="00AC71C2" w:rsidRPr="00AC71C2">
              <w:rPr>
                <w:noProof/>
                <w:webHidden/>
                <w:sz w:val="36"/>
                <w:szCs w:val="36"/>
              </w:rPr>
              <w:tab/>
            </w:r>
            <w:r w:rsidR="00AC71C2" w:rsidRPr="00AC71C2">
              <w:rPr>
                <w:noProof/>
                <w:webHidden/>
                <w:sz w:val="36"/>
                <w:szCs w:val="36"/>
              </w:rPr>
              <w:fldChar w:fldCharType="begin"/>
            </w:r>
            <w:r w:rsidR="00AC71C2" w:rsidRPr="00AC71C2">
              <w:rPr>
                <w:noProof/>
                <w:webHidden/>
                <w:sz w:val="36"/>
                <w:szCs w:val="36"/>
              </w:rPr>
              <w:instrText xml:space="preserve"> PAGEREF _Toc432590524 \h </w:instrText>
            </w:r>
            <w:r w:rsidR="00AC71C2" w:rsidRPr="00AC71C2">
              <w:rPr>
                <w:noProof/>
                <w:webHidden/>
                <w:sz w:val="36"/>
                <w:szCs w:val="36"/>
              </w:rPr>
            </w:r>
            <w:r w:rsidR="00AC71C2" w:rsidRPr="00AC71C2">
              <w:rPr>
                <w:noProof/>
                <w:webHidden/>
                <w:sz w:val="36"/>
                <w:szCs w:val="36"/>
              </w:rPr>
              <w:fldChar w:fldCharType="separate"/>
            </w:r>
            <w:r w:rsidR="00AC71C2" w:rsidRPr="00AC71C2">
              <w:rPr>
                <w:noProof/>
                <w:webHidden/>
                <w:sz w:val="36"/>
                <w:szCs w:val="36"/>
              </w:rPr>
              <w:t>1</w:t>
            </w:r>
            <w:r w:rsidR="00AC71C2" w:rsidRPr="00AC71C2">
              <w:rPr>
                <w:noProof/>
                <w:webHidden/>
                <w:sz w:val="36"/>
                <w:szCs w:val="36"/>
              </w:rPr>
              <w:fldChar w:fldCharType="end"/>
            </w:r>
          </w:hyperlink>
        </w:p>
        <w:p w:rsidR="00AC71C2" w:rsidRPr="00AC71C2" w:rsidRDefault="00AC71C2" w:rsidP="00AC71C2">
          <w:pPr>
            <w:pStyle w:val="TOC2"/>
            <w:tabs>
              <w:tab w:val="right" w:leader="dot" w:pos="9062"/>
            </w:tabs>
            <w:spacing w:line="480" w:lineRule="auto"/>
            <w:rPr>
              <w:rFonts w:eastAsiaTheme="minorEastAsia"/>
              <w:noProof/>
              <w:sz w:val="36"/>
              <w:szCs w:val="36"/>
              <w:lang w:eastAsia="sv-SE"/>
            </w:rPr>
          </w:pPr>
          <w:hyperlink w:anchor="_Toc432590525" w:history="1">
            <w:r w:rsidRPr="00AC71C2">
              <w:rPr>
                <w:rStyle w:val="Hyperlink"/>
                <w:rFonts w:eastAsia="Times New Roman"/>
                <w:noProof/>
                <w:sz w:val="36"/>
                <w:szCs w:val="36"/>
                <w:lang w:eastAsia="sv-SE"/>
              </w:rPr>
              <w:t>Sammandrag</w:t>
            </w:r>
            <w:r w:rsidRPr="00AC71C2">
              <w:rPr>
                <w:noProof/>
                <w:webHidden/>
                <w:sz w:val="36"/>
                <w:szCs w:val="36"/>
              </w:rPr>
              <w:tab/>
            </w:r>
            <w:r w:rsidRPr="00AC71C2">
              <w:rPr>
                <w:noProof/>
                <w:webHidden/>
                <w:sz w:val="36"/>
                <w:szCs w:val="36"/>
              </w:rPr>
              <w:fldChar w:fldCharType="begin"/>
            </w:r>
            <w:r w:rsidRPr="00AC71C2">
              <w:rPr>
                <w:noProof/>
                <w:webHidden/>
                <w:sz w:val="36"/>
                <w:szCs w:val="36"/>
              </w:rPr>
              <w:instrText xml:space="preserve"> PAGEREF _Toc432590525 \h </w:instrText>
            </w:r>
            <w:r w:rsidRPr="00AC71C2">
              <w:rPr>
                <w:noProof/>
                <w:webHidden/>
                <w:sz w:val="36"/>
                <w:szCs w:val="36"/>
              </w:rPr>
            </w:r>
            <w:r w:rsidRPr="00AC71C2">
              <w:rPr>
                <w:noProof/>
                <w:webHidden/>
                <w:sz w:val="36"/>
                <w:szCs w:val="36"/>
              </w:rPr>
              <w:fldChar w:fldCharType="separate"/>
            </w:r>
            <w:r w:rsidRPr="00AC71C2">
              <w:rPr>
                <w:noProof/>
                <w:webHidden/>
                <w:sz w:val="36"/>
                <w:szCs w:val="36"/>
              </w:rPr>
              <w:t>2</w:t>
            </w:r>
            <w:r w:rsidRPr="00AC71C2">
              <w:rPr>
                <w:noProof/>
                <w:webHidden/>
                <w:sz w:val="36"/>
                <w:szCs w:val="36"/>
              </w:rPr>
              <w:fldChar w:fldCharType="end"/>
            </w:r>
          </w:hyperlink>
        </w:p>
        <w:p w:rsidR="00AC71C2" w:rsidRPr="00AC71C2" w:rsidRDefault="00AC71C2" w:rsidP="00AC71C2">
          <w:pPr>
            <w:pStyle w:val="TOC2"/>
            <w:tabs>
              <w:tab w:val="right" w:leader="dot" w:pos="9062"/>
            </w:tabs>
            <w:spacing w:line="480" w:lineRule="auto"/>
            <w:rPr>
              <w:rFonts w:eastAsiaTheme="minorEastAsia"/>
              <w:noProof/>
              <w:sz w:val="36"/>
              <w:szCs w:val="36"/>
              <w:lang w:eastAsia="sv-SE"/>
            </w:rPr>
          </w:pPr>
          <w:hyperlink w:anchor="_Toc432590526" w:history="1">
            <w:r w:rsidRPr="00AC71C2">
              <w:rPr>
                <w:rStyle w:val="Hyperlink"/>
                <w:rFonts w:eastAsia="Times New Roman"/>
                <w:noProof/>
                <w:sz w:val="36"/>
                <w:szCs w:val="36"/>
                <w:lang w:eastAsia="sv-SE"/>
              </w:rPr>
              <w:t>Inledning och frågeställning</w:t>
            </w:r>
            <w:r w:rsidRPr="00AC71C2">
              <w:rPr>
                <w:noProof/>
                <w:webHidden/>
                <w:sz w:val="36"/>
                <w:szCs w:val="36"/>
              </w:rPr>
              <w:tab/>
            </w:r>
            <w:r w:rsidRPr="00AC71C2">
              <w:rPr>
                <w:noProof/>
                <w:webHidden/>
                <w:sz w:val="36"/>
                <w:szCs w:val="36"/>
              </w:rPr>
              <w:fldChar w:fldCharType="begin"/>
            </w:r>
            <w:r w:rsidRPr="00AC71C2">
              <w:rPr>
                <w:noProof/>
                <w:webHidden/>
                <w:sz w:val="36"/>
                <w:szCs w:val="36"/>
              </w:rPr>
              <w:instrText xml:space="preserve"> PAGEREF _Toc432590526 \h </w:instrText>
            </w:r>
            <w:r w:rsidRPr="00AC71C2">
              <w:rPr>
                <w:noProof/>
                <w:webHidden/>
                <w:sz w:val="36"/>
                <w:szCs w:val="36"/>
              </w:rPr>
            </w:r>
            <w:r w:rsidRPr="00AC71C2">
              <w:rPr>
                <w:noProof/>
                <w:webHidden/>
                <w:sz w:val="36"/>
                <w:szCs w:val="36"/>
              </w:rPr>
              <w:fldChar w:fldCharType="separate"/>
            </w:r>
            <w:r w:rsidRPr="00AC71C2">
              <w:rPr>
                <w:noProof/>
                <w:webHidden/>
                <w:sz w:val="36"/>
                <w:szCs w:val="36"/>
              </w:rPr>
              <w:t>3</w:t>
            </w:r>
            <w:r w:rsidRPr="00AC71C2">
              <w:rPr>
                <w:noProof/>
                <w:webHidden/>
                <w:sz w:val="36"/>
                <w:szCs w:val="36"/>
              </w:rPr>
              <w:fldChar w:fldCharType="end"/>
            </w:r>
          </w:hyperlink>
        </w:p>
        <w:p w:rsidR="00AC71C2" w:rsidRPr="00AC71C2" w:rsidRDefault="00AC71C2" w:rsidP="00AC71C2">
          <w:pPr>
            <w:pStyle w:val="TOC2"/>
            <w:tabs>
              <w:tab w:val="right" w:leader="dot" w:pos="9062"/>
            </w:tabs>
            <w:spacing w:line="480" w:lineRule="auto"/>
            <w:rPr>
              <w:rFonts w:eastAsiaTheme="minorEastAsia"/>
              <w:noProof/>
              <w:sz w:val="36"/>
              <w:szCs w:val="36"/>
              <w:lang w:eastAsia="sv-SE"/>
            </w:rPr>
          </w:pPr>
          <w:hyperlink w:anchor="_Toc432590527" w:history="1">
            <w:r w:rsidRPr="00AC71C2">
              <w:rPr>
                <w:rStyle w:val="Hyperlink"/>
                <w:rFonts w:eastAsia="Times New Roman"/>
                <w:noProof/>
                <w:sz w:val="36"/>
                <w:szCs w:val="36"/>
                <w:lang w:eastAsia="sv-SE"/>
              </w:rPr>
              <w:t>Syfte</w:t>
            </w:r>
            <w:r w:rsidRPr="00AC71C2">
              <w:rPr>
                <w:noProof/>
                <w:webHidden/>
                <w:sz w:val="36"/>
                <w:szCs w:val="36"/>
              </w:rPr>
              <w:tab/>
            </w:r>
            <w:r w:rsidRPr="00AC71C2">
              <w:rPr>
                <w:noProof/>
                <w:webHidden/>
                <w:sz w:val="36"/>
                <w:szCs w:val="36"/>
              </w:rPr>
              <w:fldChar w:fldCharType="begin"/>
            </w:r>
            <w:r w:rsidRPr="00AC71C2">
              <w:rPr>
                <w:noProof/>
                <w:webHidden/>
                <w:sz w:val="36"/>
                <w:szCs w:val="36"/>
              </w:rPr>
              <w:instrText xml:space="preserve"> PAGEREF _Toc432590527 \h </w:instrText>
            </w:r>
            <w:r w:rsidRPr="00AC71C2">
              <w:rPr>
                <w:noProof/>
                <w:webHidden/>
                <w:sz w:val="36"/>
                <w:szCs w:val="36"/>
              </w:rPr>
            </w:r>
            <w:r w:rsidRPr="00AC71C2">
              <w:rPr>
                <w:noProof/>
                <w:webHidden/>
                <w:sz w:val="36"/>
                <w:szCs w:val="36"/>
              </w:rPr>
              <w:fldChar w:fldCharType="separate"/>
            </w:r>
            <w:r w:rsidRPr="00AC71C2">
              <w:rPr>
                <w:noProof/>
                <w:webHidden/>
                <w:sz w:val="36"/>
                <w:szCs w:val="36"/>
              </w:rPr>
              <w:t>3</w:t>
            </w:r>
            <w:r w:rsidRPr="00AC71C2">
              <w:rPr>
                <w:noProof/>
                <w:webHidden/>
                <w:sz w:val="36"/>
                <w:szCs w:val="36"/>
              </w:rPr>
              <w:fldChar w:fldCharType="end"/>
            </w:r>
          </w:hyperlink>
        </w:p>
        <w:p w:rsidR="00AC71C2" w:rsidRPr="00AC71C2" w:rsidRDefault="00AC71C2" w:rsidP="00AC71C2">
          <w:pPr>
            <w:pStyle w:val="TOC2"/>
            <w:tabs>
              <w:tab w:val="right" w:leader="dot" w:pos="9062"/>
            </w:tabs>
            <w:spacing w:line="480" w:lineRule="auto"/>
            <w:rPr>
              <w:rFonts w:eastAsiaTheme="minorEastAsia"/>
              <w:noProof/>
              <w:sz w:val="36"/>
              <w:szCs w:val="36"/>
              <w:lang w:eastAsia="sv-SE"/>
            </w:rPr>
          </w:pPr>
          <w:hyperlink w:anchor="_Toc432590528" w:history="1">
            <w:r w:rsidRPr="00AC71C2">
              <w:rPr>
                <w:rStyle w:val="Hyperlink"/>
                <w:rFonts w:eastAsia="Times New Roman"/>
                <w:noProof/>
                <w:sz w:val="36"/>
                <w:szCs w:val="36"/>
                <w:lang w:eastAsia="sv-SE"/>
              </w:rPr>
              <w:t>Metod</w:t>
            </w:r>
            <w:r w:rsidRPr="00AC71C2">
              <w:rPr>
                <w:noProof/>
                <w:webHidden/>
                <w:sz w:val="36"/>
                <w:szCs w:val="36"/>
              </w:rPr>
              <w:tab/>
            </w:r>
            <w:r w:rsidRPr="00AC71C2">
              <w:rPr>
                <w:noProof/>
                <w:webHidden/>
                <w:sz w:val="36"/>
                <w:szCs w:val="36"/>
              </w:rPr>
              <w:fldChar w:fldCharType="begin"/>
            </w:r>
            <w:r w:rsidRPr="00AC71C2">
              <w:rPr>
                <w:noProof/>
                <w:webHidden/>
                <w:sz w:val="36"/>
                <w:szCs w:val="36"/>
              </w:rPr>
              <w:instrText xml:space="preserve"> PAGEREF _Toc432590528 \h </w:instrText>
            </w:r>
            <w:r w:rsidRPr="00AC71C2">
              <w:rPr>
                <w:noProof/>
                <w:webHidden/>
                <w:sz w:val="36"/>
                <w:szCs w:val="36"/>
              </w:rPr>
            </w:r>
            <w:r w:rsidRPr="00AC71C2">
              <w:rPr>
                <w:noProof/>
                <w:webHidden/>
                <w:sz w:val="36"/>
                <w:szCs w:val="36"/>
              </w:rPr>
              <w:fldChar w:fldCharType="separate"/>
            </w:r>
            <w:r w:rsidRPr="00AC71C2">
              <w:rPr>
                <w:noProof/>
                <w:webHidden/>
                <w:sz w:val="36"/>
                <w:szCs w:val="36"/>
              </w:rPr>
              <w:t>3</w:t>
            </w:r>
            <w:r w:rsidRPr="00AC71C2">
              <w:rPr>
                <w:noProof/>
                <w:webHidden/>
                <w:sz w:val="36"/>
                <w:szCs w:val="36"/>
              </w:rPr>
              <w:fldChar w:fldCharType="end"/>
            </w:r>
          </w:hyperlink>
        </w:p>
        <w:p w:rsidR="00AC71C2" w:rsidRPr="00AC71C2" w:rsidRDefault="00AC71C2" w:rsidP="00AC71C2">
          <w:pPr>
            <w:pStyle w:val="TOC2"/>
            <w:tabs>
              <w:tab w:val="right" w:leader="dot" w:pos="9062"/>
            </w:tabs>
            <w:spacing w:line="480" w:lineRule="auto"/>
            <w:rPr>
              <w:rFonts w:eastAsiaTheme="minorEastAsia"/>
              <w:noProof/>
              <w:sz w:val="36"/>
              <w:szCs w:val="36"/>
              <w:lang w:eastAsia="sv-SE"/>
            </w:rPr>
          </w:pPr>
          <w:hyperlink w:anchor="_Toc432590529" w:history="1">
            <w:r w:rsidRPr="00AC71C2">
              <w:rPr>
                <w:rStyle w:val="Hyperlink"/>
                <w:rFonts w:eastAsia="Times New Roman"/>
                <w:noProof/>
                <w:sz w:val="36"/>
                <w:szCs w:val="36"/>
                <w:lang w:eastAsia="sv-SE"/>
              </w:rPr>
              <w:t>Livscykler och Kvalitet</w:t>
            </w:r>
            <w:r w:rsidRPr="00AC71C2">
              <w:rPr>
                <w:noProof/>
                <w:webHidden/>
                <w:sz w:val="36"/>
                <w:szCs w:val="36"/>
              </w:rPr>
              <w:tab/>
            </w:r>
            <w:r w:rsidRPr="00AC71C2">
              <w:rPr>
                <w:noProof/>
                <w:webHidden/>
                <w:sz w:val="36"/>
                <w:szCs w:val="36"/>
              </w:rPr>
              <w:fldChar w:fldCharType="begin"/>
            </w:r>
            <w:r w:rsidRPr="00AC71C2">
              <w:rPr>
                <w:noProof/>
                <w:webHidden/>
                <w:sz w:val="36"/>
                <w:szCs w:val="36"/>
              </w:rPr>
              <w:instrText xml:space="preserve"> PAGEREF _Toc432590529 \h </w:instrText>
            </w:r>
            <w:r w:rsidRPr="00AC71C2">
              <w:rPr>
                <w:noProof/>
                <w:webHidden/>
                <w:sz w:val="36"/>
                <w:szCs w:val="36"/>
              </w:rPr>
            </w:r>
            <w:r w:rsidRPr="00AC71C2">
              <w:rPr>
                <w:noProof/>
                <w:webHidden/>
                <w:sz w:val="36"/>
                <w:szCs w:val="36"/>
              </w:rPr>
              <w:fldChar w:fldCharType="separate"/>
            </w:r>
            <w:r w:rsidRPr="00AC71C2">
              <w:rPr>
                <w:noProof/>
                <w:webHidden/>
                <w:sz w:val="36"/>
                <w:szCs w:val="36"/>
              </w:rPr>
              <w:t>4</w:t>
            </w:r>
            <w:r w:rsidRPr="00AC71C2">
              <w:rPr>
                <w:noProof/>
                <w:webHidden/>
                <w:sz w:val="36"/>
                <w:szCs w:val="36"/>
              </w:rPr>
              <w:fldChar w:fldCharType="end"/>
            </w:r>
          </w:hyperlink>
        </w:p>
        <w:p w:rsidR="00AC71C2" w:rsidRPr="00AC71C2" w:rsidRDefault="00AC71C2" w:rsidP="00AC71C2">
          <w:pPr>
            <w:pStyle w:val="TOC3"/>
            <w:tabs>
              <w:tab w:val="right" w:leader="dot" w:pos="9062"/>
            </w:tabs>
            <w:spacing w:line="480" w:lineRule="auto"/>
            <w:rPr>
              <w:rFonts w:eastAsiaTheme="minorEastAsia"/>
              <w:noProof/>
              <w:sz w:val="36"/>
              <w:szCs w:val="36"/>
              <w:lang w:eastAsia="sv-SE"/>
            </w:rPr>
          </w:pPr>
          <w:hyperlink w:anchor="_Toc432590530" w:history="1">
            <w:r w:rsidRPr="00AC71C2">
              <w:rPr>
                <w:rStyle w:val="Hyperlink"/>
                <w:rFonts w:eastAsia="Times New Roman"/>
                <w:noProof/>
                <w:sz w:val="36"/>
                <w:szCs w:val="36"/>
                <w:lang w:eastAsia="sv-SE"/>
              </w:rPr>
              <w:t>Produktlivscykler</w:t>
            </w:r>
            <w:r w:rsidRPr="00AC71C2">
              <w:rPr>
                <w:noProof/>
                <w:webHidden/>
                <w:sz w:val="36"/>
                <w:szCs w:val="36"/>
              </w:rPr>
              <w:tab/>
            </w:r>
            <w:r w:rsidRPr="00AC71C2">
              <w:rPr>
                <w:noProof/>
                <w:webHidden/>
                <w:sz w:val="36"/>
                <w:szCs w:val="36"/>
              </w:rPr>
              <w:fldChar w:fldCharType="begin"/>
            </w:r>
            <w:r w:rsidRPr="00AC71C2">
              <w:rPr>
                <w:noProof/>
                <w:webHidden/>
                <w:sz w:val="36"/>
                <w:szCs w:val="36"/>
              </w:rPr>
              <w:instrText xml:space="preserve"> PAGEREF _Toc432590530 \h </w:instrText>
            </w:r>
            <w:r w:rsidRPr="00AC71C2">
              <w:rPr>
                <w:noProof/>
                <w:webHidden/>
                <w:sz w:val="36"/>
                <w:szCs w:val="36"/>
              </w:rPr>
            </w:r>
            <w:r w:rsidRPr="00AC71C2">
              <w:rPr>
                <w:noProof/>
                <w:webHidden/>
                <w:sz w:val="36"/>
                <w:szCs w:val="36"/>
              </w:rPr>
              <w:fldChar w:fldCharType="separate"/>
            </w:r>
            <w:r w:rsidRPr="00AC71C2">
              <w:rPr>
                <w:noProof/>
                <w:webHidden/>
                <w:sz w:val="36"/>
                <w:szCs w:val="36"/>
              </w:rPr>
              <w:t>4</w:t>
            </w:r>
            <w:r w:rsidRPr="00AC71C2">
              <w:rPr>
                <w:noProof/>
                <w:webHidden/>
                <w:sz w:val="36"/>
                <w:szCs w:val="36"/>
              </w:rPr>
              <w:fldChar w:fldCharType="end"/>
            </w:r>
          </w:hyperlink>
        </w:p>
        <w:p w:rsidR="00AC71C2" w:rsidRPr="00AC71C2" w:rsidRDefault="00AC71C2" w:rsidP="00AC71C2">
          <w:pPr>
            <w:pStyle w:val="TOC3"/>
            <w:tabs>
              <w:tab w:val="right" w:leader="dot" w:pos="9062"/>
            </w:tabs>
            <w:spacing w:line="480" w:lineRule="auto"/>
            <w:rPr>
              <w:rFonts w:eastAsiaTheme="minorEastAsia"/>
              <w:noProof/>
              <w:sz w:val="36"/>
              <w:szCs w:val="36"/>
              <w:lang w:eastAsia="sv-SE"/>
            </w:rPr>
          </w:pPr>
          <w:hyperlink w:anchor="_Toc432590531" w:history="1">
            <w:r w:rsidRPr="00AC71C2">
              <w:rPr>
                <w:rStyle w:val="Hyperlink"/>
                <w:rFonts w:eastAsia="Times New Roman"/>
                <w:noProof/>
                <w:sz w:val="36"/>
                <w:szCs w:val="36"/>
                <w:lang w:eastAsia="sv-SE"/>
              </w:rPr>
              <w:t>Obsolescense - ursprunget till planerat åldrande</w:t>
            </w:r>
            <w:r w:rsidRPr="00AC71C2">
              <w:rPr>
                <w:noProof/>
                <w:webHidden/>
                <w:sz w:val="36"/>
                <w:szCs w:val="36"/>
              </w:rPr>
              <w:tab/>
            </w:r>
            <w:r w:rsidRPr="00AC71C2">
              <w:rPr>
                <w:noProof/>
                <w:webHidden/>
                <w:sz w:val="36"/>
                <w:szCs w:val="36"/>
              </w:rPr>
              <w:fldChar w:fldCharType="begin"/>
            </w:r>
            <w:r w:rsidRPr="00AC71C2">
              <w:rPr>
                <w:noProof/>
                <w:webHidden/>
                <w:sz w:val="36"/>
                <w:szCs w:val="36"/>
              </w:rPr>
              <w:instrText xml:space="preserve"> PAGEREF _Toc432590531 \h </w:instrText>
            </w:r>
            <w:r w:rsidRPr="00AC71C2">
              <w:rPr>
                <w:noProof/>
                <w:webHidden/>
                <w:sz w:val="36"/>
                <w:szCs w:val="36"/>
              </w:rPr>
            </w:r>
            <w:r w:rsidRPr="00AC71C2">
              <w:rPr>
                <w:noProof/>
                <w:webHidden/>
                <w:sz w:val="36"/>
                <w:szCs w:val="36"/>
              </w:rPr>
              <w:fldChar w:fldCharType="separate"/>
            </w:r>
            <w:r w:rsidRPr="00AC71C2">
              <w:rPr>
                <w:noProof/>
                <w:webHidden/>
                <w:sz w:val="36"/>
                <w:szCs w:val="36"/>
              </w:rPr>
              <w:t>4</w:t>
            </w:r>
            <w:r w:rsidRPr="00AC71C2">
              <w:rPr>
                <w:noProof/>
                <w:webHidden/>
                <w:sz w:val="36"/>
                <w:szCs w:val="36"/>
              </w:rPr>
              <w:fldChar w:fldCharType="end"/>
            </w:r>
          </w:hyperlink>
        </w:p>
        <w:p w:rsidR="00AC71C2" w:rsidRPr="00AC71C2" w:rsidRDefault="00AC71C2" w:rsidP="00AC71C2">
          <w:pPr>
            <w:pStyle w:val="TOC2"/>
            <w:tabs>
              <w:tab w:val="right" w:leader="dot" w:pos="9062"/>
            </w:tabs>
            <w:spacing w:line="480" w:lineRule="auto"/>
            <w:rPr>
              <w:rFonts w:eastAsiaTheme="minorEastAsia"/>
              <w:noProof/>
              <w:sz w:val="36"/>
              <w:szCs w:val="36"/>
              <w:lang w:eastAsia="sv-SE"/>
            </w:rPr>
          </w:pPr>
          <w:hyperlink w:anchor="_Toc432590532" w:history="1">
            <w:r w:rsidRPr="00AC71C2">
              <w:rPr>
                <w:rStyle w:val="Hyperlink"/>
                <w:rFonts w:eastAsia="Times New Roman"/>
                <w:noProof/>
                <w:sz w:val="36"/>
                <w:szCs w:val="36"/>
                <w:lang w:eastAsia="sv-SE"/>
              </w:rPr>
              <w:t>Tillförlitlighet och ekonomiska faktorer vid produktion</w:t>
            </w:r>
            <w:r w:rsidRPr="00AC71C2">
              <w:rPr>
                <w:noProof/>
                <w:webHidden/>
                <w:sz w:val="36"/>
                <w:szCs w:val="36"/>
              </w:rPr>
              <w:tab/>
            </w:r>
            <w:r w:rsidRPr="00AC71C2">
              <w:rPr>
                <w:noProof/>
                <w:webHidden/>
                <w:sz w:val="36"/>
                <w:szCs w:val="36"/>
              </w:rPr>
              <w:fldChar w:fldCharType="begin"/>
            </w:r>
            <w:r w:rsidRPr="00AC71C2">
              <w:rPr>
                <w:noProof/>
                <w:webHidden/>
                <w:sz w:val="36"/>
                <w:szCs w:val="36"/>
              </w:rPr>
              <w:instrText xml:space="preserve"> PAGEREF _Toc432590532 \h </w:instrText>
            </w:r>
            <w:r w:rsidRPr="00AC71C2">
              <w:rPr>
                <w:noProof/>
                <w:webHidden/>
                <w:sz w:val="36"/>
                <w:szCs w:val="36"/>
              </w:rPr>
            </w:r>
            <w:r w:rsidRPr="00AC71C2">
              <w:rPr>
                <w:noProof/>
                <w:webHidden/>
                <w:sz w:val="36"/>
                <w:szCs w:val="36"/>
              </w:rPr>
              <w:fldChar w:fldCharType="separate"/>
            </w:r>
            <w:r w:rsidRPr="00AC71C2">
              <w:rPr>
                <w:noProof/>
                <w:webHidden/>
                <w:sz w:val="36"/>
                <w:szCs w:val="36"/>
              </w:rPr>
              <w:t>5</w:t>
            </w:r>
            <w:r w:rsidRPr="00AC71C2">
              <w:rPr>
                <w:noProof/>
                <w:webHidden/>
                <w:sz w:val="36"/>
                <w:szCs w:val="36"/>
              </w:rPr>
              <w:fldChar w:fldCharType="end"/>
            </w:r>
          </w:hyperlink>
        </w:p>
        <w:p w:rsidR="00AC71C2" w:rsidRPr="00AC71C2" w:rsidRDefault="00AC71C2" w:rsidP="00AC71C2">
          <w:pPr>
            <w:pStyle w:val="TOC2"/>
            <w:tabs>
              <w:tab w:val="right" w:leader="dot" w:pos="9062"/>
            </w:tabs>
            <w:spacing w:line="480" w:lineRule="auto"/>
            <w:rPr>
              <w:rFonts w:eastAsiaTheme="minorEastAsia"/>
              <w:noProof/>
              <w:sz w:val="36"/>
              <w:szCs w:val="36"/>
              <w:lang w:eastAsia="sv-SE"/>
            </w:rPr>
          </w:pPr>
          <w:hyperlink w:anchor="_Toc432590533" w:history="1">
            <w:r w:rsidRPr="00AC71C2">
              <w:rPr>
                <w:rStyle w:val="Hyperlink"/>
                <w:rFonts w:eastAsia="Times New Roman"/>
                <w:noProof/>
                <w:sz w:val="36"/>
                <w:szCs w:val="36"/>
                <w:lang w:eastAsia="sv-SE"/>
              </w:rPr>
              <w:t>Miljödirektiv och dess konsekvenser</w:t>
            </w:r>
            <w:r w:rsidRPr="00AC71C2">
              <w:rPr>
                <w:noProof/>
                <w:webHidden/>
                <w:sz w:val="36"/>
                <w:szCs w:val="36"/>
              </w:rPr>
              <w:tab/>
            </w:r>
            <w:r w:rsidRPr="00AC71C2">
              <w:rPr>
                <w:noProof/>
                <w:webHidden/>
                <w:sz w:val="36"/>
                <w:szCs w:val="36"/>
              </w:rPr>
              <w:fldChar w:fldCharType="begin"/>
            </w:r>
            <w:r w:rsidRPr="00AC71C2">
              <w:rPr>
                <w:noProof/>
                <w:webHidden/>
                <w:sz w:val="36"/>
                <w:szCs w:val="36"/>
              </w:rPr>
              <w:instrText xml:space="preserve"> PAGEREF _Toc432590533 \h </w:instrText>
            </w:r>
            <w:r w:rsidRPr="00AC71C2">
              <w:rPr>
                <w:noProof/>
                <w:webHidden/>
                <w:sz w:val="36"/>
                <w:szCs w:val="36"/>
              </w:rPr>
            </w:r>
            <w:r w:rsidRPr="00AC71C2">
              <w:rPr>
                <w:noProof/>
                <w:webHidden/>
                <w:sz w:val="36"/>
                <w:szCs w:val="36"/>
              </w:rPr>
              <w:fldChar w:fldCharType="separate"/>
            </w:r>
            <w:r w:rsidRPr="00AC71C2">
              <w:rPr>
                <w:noProof/>
                <w:webHidden/>
                <w:sz w:val="36"/>
                <w:szCs w:val="36"/>
              </w:rPr>
              <w:t>7</w:t>
            </w:r>
            <w:r w:rsidRPr="00AC71C2">
              <w:rPr>
                <w:noProof/>
                <w:webHidden/>
                <w:sz w:val="36"/>
                <w:szCs w:val="36"/>
              </w:rPr>
              <w:fldChar w:fldCharType="end"/>
            </w:r>
          </w:hyperlink>
        </w:p>
        <w:p w:rsidR="00AC71C2" w:rsidRPr="00AC71C2" w:rsidRDefault="00AC71C2" w:rsidP="00AC71C2">
          <w:pPr>
            <w:pStyle w:val="TOC2"/>
            <w:tabs>
              <w:tab w:val="right" w:leader="dot" w:pos="9062"/>
            </w:tabs>
            <w:spacing w:line="480" w:lineRule="auto"/>
            <w:rPr>
              <w:rFonts w:eastAsiaTheme="minorEastAsia"/>
              <w:noProof/>
              <w:sz w:val="36"/>
              <w:szCs w:val="36"/>
              <w:lang w:eastAsia="sv-SE"/>
            </w:rPr>
          </w:pPr>
          <w:hyperlink w:anchor="_Toc432590534" w:history="1">
            <w:r w:rsidRPr="00AC71C2">
              <w:rPr>
                <w:rStyle w:val="Hyperlink"/>
                <w:rFonts w:eastAsia="Times New Roman"/>
                <w:noProof/>
                <w:sz w:val="36"/>
                <w:szCs w:val="36"/>
                <w:lang w:eastAsia="sv-SE"/>
              </w:rPr>
              <w:t>Grafen - Kvalitet för framtiden</w:t>
            </w:r>
            <w:r w:rsidRPr="00AC71C2">
              <w:rPr>
                <w:noProof/>
                <w:webHidden/>
                <w:sz w:val="36"/>
                <w:szCs w:val="36"/>
              </w:rPr>
              <w:tab/>
            </w:r>
            <w:r w:rsidRPr="00AC71C2">
              <w:rPr>
                <w:noProof/>
                <w:webHidden/>
                <w:sz w:val="36"/>
                <w:szCs w:val="36"/>
              </w:rPr>
              <w:fldChar w:fldCharType="begin"/>
            </w:r>
            <w:r w:rsidRPr="00AC71C2">
              <w:rPr>
                <w:noProof/>
                <w:webHidden/>
                <w:sz w:val="36"/>
                <w:szCs w:val="36"/>
              </w:rPr>
              <w:instrText xml:space="preserve"> PAGEREF _Toc432590534 \h </w:instrText>
            </w:r>
            <w:r w:rsidRPr="00AC71C2">
              <w:rPr>
                <w:noProof/>
                <w:webHidden/>
                <w:sz w:val="36"/>
                <w:szCs w:val="36"/>
              </w:rPr>
            </w:r>
            <w:r w:rsidRPr="00AC71C2">
              <w:rPr>
                <w:noProof/>
                <w:webHidden/>
                <w:sz w:val="36"/>
                <w:szCs w:val="36"/>
              </w:rPr>
              <w:fldChar w:fldCharType="separate"/>
            </w:r>
            <w:r w:rsidRPr="00AC71C2">
              <w:rPr>
                <w:noProof/>
                <w:webHidden/>
                <w:sz w:val="36"/>
                <w:szCs w:val="36"/>
              </w:rPr>
              <w:t>9</w:t>
            </w:r>
            <w:r w:rsidRPr="00AC71C2">
              <w:rPr>
                <w:noProof/>
                <w:webHidden/>
                <w:sz w:val="36"/>
                <w:szCs w:val="36"/>
              </w:rPr>
              <w:fldChar w:fldCharType="end"/>
            </w:r>
          </w:hyperlink>
        </w:p>
        <w:p w:rsidR="00AC71C2" w:rsidRPr="00AC71C2" w:rsidRDefault="00AC71C2" w:rsidP="00AC71C2">
          <w:pPr>
            <w:pStyle w:val="TOC2"/>
            <w:tabs>
              <w:tab w:val="right" w:leader="dot" w:pos="9062"/>
            </w:tabs>
            <w:spacing w:line="480" w:lineRule="auto"/>
            <w:rPr>
              <w:rFonts w:eastAsiaTheme="minorEastAsia"/>
              <w:noProof/>
              <w:sz w:val="36"/>
              <w:szCs w:val="36"/>
              <w:lang w:eastAsia="sv-SE"/>
            </w:rPr>
          </w:pPr>
          <w:hyperlink w:anchor="_Toc432590535" w:history="1">
            <w:r w:rsidRPr="00AC71C2">
              <w:rPr>
                <w:rStyle w:val="Hyperlink"/>
                <w:rFonts w:eastAsia="Times New Roman"/>
                <w:noProof/>
                <w:sz w:val="36"/>
                <w:szCs w:val="36"/>
                <w:lang w:eastAsia="sv-SE"/>
              </w:rPr>
              <w:t>Diskussion och slutsats</w:t>
            </w:r>
            <w:r w:rsidRPr="00AC71C2">
              <w:rPr>
                <w:noProof/>
                <w:webHidden/>
                <w:sz w:val="36"/>
                <w:szCs w:val="36"/>
              </w:rPr>
              <w:tab/>
            </w:r>
            <w:r w:rsidRPr="00AC71C2">
              <w:rPr>
                <w:noProof/>
                <w:webHidden/>
                <w:sz w:val="36"/>
                <w:szCs w:val="36"/>
              </w:rPr>
              <w:fldChar w:fldCharType="begin"/>
            </w:r>
            <w:r w:rsidRPr="00AC71C2">
              <w:rPr>
                <w:noProof/>
                <w:webHidden/>
                <w:sz w:val="36"/>
                <w:szCs w:val="36"/>
              </w:rPr>
              <w:instrText xml:space="preserve"> PAGEREF _Toc432590535 \h </w:instrText>
            </w:r>
            <w:r w:rsidRPr="00AC71C2">
              <w:rPr>
                <w:noProof/>
                <w:webHidden/>
                <w:sz w:val="36"/>
                <w:szCs w:val="36"/>
              </w:rPr>
            </w:r>
            <w:r w:rsidRPr="00AC71C2">
              <w:rPr>
                <w:noProof/>
                <w:webHidden/>
                <w:sz w:val="36"/>
                <w:szCs w:val="36"/>
              </w:rPr>
              <w:fldChar w:fldCharType="separate"/>
            </w:r>
            <w:r w:rsidRPr="00AC71C2">
              <w:rPr>
                <w:noProof/>
                <w:webHidden/>
                <w:sz w:val="36"/>
                <w:szCs w:val="36"/>
              </w:rPr>
              <w:t>10</w:t>
            </w:r>
            <w:r w:rsidRPr="00AC71C2">
              <w:rPr>
                <w:noProof/>
                <w:webHidden/>
                <w:sz w:val="36"/>
                <w:szCs w:val="36"/>
              </w:rPr>
              <w:fldChar w:fldCharType="end"/>
            </w:r>
          </w:hyperlink>
        </w:p>
        <w:p w:rsidR="00AC71C2" w:rsidRPr="00AC71C2" w:rsidRDefault="00AC71C2" w:rsidP="00AC71C2">
          <w:pPr>
            <w:pStyle w:val="TOC2"/>
            <w:tabs>
              <w:tab w:val="right" w:leader="dot" w:pos="9062"/>
            </w:tabs>
            <w:spacing w:line="480" w:lineRule="auto"/>
            <w:rPr>
              <w:rFonts w:eastAsiaTheme="minorEastAsia"/>
              <w:noProof/>
              <w:sz w:val="36"/>
              <w:szCs w:val="36"/>
              <w:lang w:eastAsia="sv-SE"/>
            </w:rPr>
          </w:pPr>
          <w:hyperlink w:anchor="_Toc432590536" w:history="1">
            <w:r w:rsidRPr="00AC71C2">
              <w:rPr>
                <w:rStyle w:val="Hyperlink"/>
                <w:rFonts w:eastAsia="Times New Roman"/>
                <w:noProof/>
                <w:sz w:val="36"/>
                <w:szCs w:val="36"/>
                <w:lang w:val="en-US" w:eastAsia="sv-SE"/>
              </w:rPr>
              <w:t>Källor</w:t>
            </w:r>
            <w:r w:rsidRPr="00AC71C2">
              <w:rPr>
                <w:noProof/>
                <w:webHidden/>
                <w:sz w:val="36"/>
                <w:szCs w:val="36"/>
              </w:rPr>
              <w:tab/>
            </w:r>
            <w:r w:rsidRPr="00AC71C2">
              <w:rPr>
                <w:noProof/>
                <w:webHidden/>
                <w:sz w:val="36"/>
                <w:szCs w:val="36"/>
              </w:rPr>
              <w:fldChar w:fldCharType="begin"/>
            </w:r>
            <w:r w:rsidRPr="00AC71C2">
              <w:rPr>
                <w:noProof/>
                <w:webHidden/>
                <w:sz w:val="36"/>
                <w:szCs w:val="36"/>
              </w:rPr>
              <w:instrText xml:space="preserve"> PAGEREF _Toc432590536 \h </w:instrText>
            </w:r>
            <w:r w:rsidRPr="00AC71C2">
              <w:rPr>
                <w:noProof/>
                <w:webHidden/>
                <w:sz w:val="36"/>
                <w:szCs w:val="36"/>
              </w:rPr>
            </w:r>
            <w:r w:rsidRPr="00AC71C2">
              <w:rPr>
                <w:noProof/>
                <w:webHidden/>
                <w:sz w:val="36"/>
                <w:szCs w:val="36"/>
              </w:rPr>
              <w:fldChar w:fldCharType="separate"/>
            </w:r>
            <w:r w:rsidRPr="00AC71C2">
              <w:rPr>
                <w:noProof/>
                <w:webHidden/>
                <w:sz w:val="36"/>
                <w:szCs w:val="36"/>
              </w:rPr>
              <w:t>11</w:t>
            </w:r>
            <w:r w:rsidRPr="00AC71C2">
              <w:rPr>
                <w:noProof/>
                <w:webHidden/>
                <w:sz w:val="36"/>
                <w:szCs w:val="36"/>
              </w:rPr>
              <w:fldChar w:fldCharType="end"/>
            </w:r>
          </w:hyperlink>
        </w:p>
        <w:p w:rsidR="00F258AC" w:rsidRDefault="00F258AC">
          <w:r w:rsidRPr="00AC71C2">
            <w:rPr>
              <w:b/>
              <w:bCs/>
              <w:noProof/>
              <w:sz w:val="36"/>
              <w:szCs w:val="36"/>
            </w:rPr>
            <w:fldChar w:fldCharType="end"/>
          </w:r>
        </w:p>
      </w:sdtContent>
    </w:sdt>
    <w:p w:rsidR="003370B5" w:rsidRPr="003370B5" w:rsidRDefault="003370B5" w:rsidP="003370B5">
      <w:pPr>
        <w:spacing w:after="240" w:line="240" w:lineRule="auto"/>
        <w:rPr>
          <w:rFonts w:ascii="Times New Roman" w:eastAsia="Times New Roman" w:hAnsi="Times New Roman" w:cs="Times New Roman"/>
          <w:sz w:val="24"/>
          <w:szCs w:val="24"/>
          <w:lang w:eastAsia="sv-SE"/>
        </w:rPr>
      </w:pPr>
      <w:r w:rsidRPr="003370B5">
        <w:rPr>
          <w:rFonts w:ascii="Times New Roman" w:eastAsia="Times New Roman" w:hAnsi="Times New Roman" w:cs="Times New Roman"/>
          <w:sz w:val="24"/>
          <w:szCs w:val="24"/>
          <w:lang w:eastAsia="sv-SE"/>
        </w:rPr>
        <w:br/>
      </w:r>
      <w:r w:rsidRPr="003370B5">
        <w:rPr>
          <w:rFonts w:ascii="Times New Roman" w:eastAsia="Times New Roman" w:hAnsi="Times New Roman" w:cs="Times New Roman"/>
          <w:sz w:val="24"/>
          <w:szCs w:val="24"/>
          <w:lang w:eastAsia="sv-SE"/>
        </w:rPr>
        <w:br/>
      </w:r>
      <w:r w:rsidRPr="003370B5">
        <w:rPr>
          <w:rFonts w:ascii="Times New Roman" w:eastAsia="Times New Roman" w:hAnsi="Times New Roman" w:cs="Times New Roman"/>
          <w:sz w:val="24"/>
          <w:szCs w:val="24"/>
          <w:lang w:eastAsia="sv-SE"/>
        </w:rPr>
        <w:br/>
      </w:r>
      <w:r w:rsidRPr="003370B5">
        <w:rPr>
          <w:rFonts w:ascii="Times New Roman" w:eastAsia="Times New Roman" w:hAnsi="Times New Roman" w:cs="Times New Roman"/>
          <w:sz w:val="24"/>
          <w:szCs w:val="24"/>
          <w:lang w:eastAsia="sv-SE"/>
        </w:rPr>
        <w:br/>
      </w:r>
    </w:p>
    <w:p w:rsidR="003370B5" w:rsidRDefault="003370B5" w:rsidP="003370B5">
      <w:pPr>
        <w:spacing w:after="0" w:line="240" w:lineRule="auto"/>
        <w:jc w:val="center"/>
        <w:rPr>
          <w:rFonts w:ascii="Arial" w:eastAsia="Times New Roman" w:hAnsi="Arial" w:cs="Arial"/>
          <w:color w:val="000000"/>
          <w:sz w:val="36"/>
          <w:szCs w:val="36"/>
          <w:lang w:eastAsia="sv-SE"/>
        </w:rPr>
      </w:pPr>
    </w:p>
    <w:p w:rsidR="003370B5" w:rsidRDefault="003370B5" w:rsidP="003370B5">
      <w:pPr>
        <w:spacing w:after="0" w:line="240" w:lineRule="auto"/>
        <w:jc w:val="center"/>
        <w:rPr>
          <w:rFonts w:ascii="Arial" w:eastAsia="Times New Roman" w:hAnsi="Arial" w:cs="Arial"/>
          <w:color w:val="000000"/>
          <w:sz w:val="36"/>
          <w:szCs w:val="36"/>
          <w:lang w:eastAsia="sv-SE"/>
        </w:rPr>
      </w:pPr>
    </w:p>
    <w:p w:rsidR="003370B5" w:rsidRDefault="003370B5" w:rsidP="003370B5">
      <w:pPr>
        <w:spacing w:after="0" w:line="240" w:lineRule="auto"/>
        <w:jc w:val="center"/>
        <w:rPr>
          <w:rFonts w:ascii="Arial" w:eastAsia="Times New Roman" w:hAnsi="Arial" w:cs="Arial"/>
          <w:color w:val="000000"/>
          <w:sz w:val="36"/>
          <w:szCs w:val="36"/>
          <w:lang w:eastAsia="sv-SE"/>
        </w:rPr>
      </w:pPr>
    </w:p>
    <w:p w:rsidR="003370B5" w:rsidRDefault="003370B5" w:rsidP="003370B5">
      <w:pPr>
        <w:spacing w:after="0" w:line="240" w:lineRule="auto"/>
        <w:jc w:val="center"/>
        <w:rPr>
          <w:rFonts w:ascii="Arial" w:eastAsia="Times New Roman" w:hAnsi="Arial" w:cs="Arial"/>
          <w:color w:val="000000"/>
          <w:sz w:val="36"/>
          <w:szCs w:val="36"/>
          <w:lang w:eastAsia="sv-SE"/>
        </w:rPr>
      </w:pPr>
    </w:p>
    <w:p w:rsidR="003370B5" w:rsidRDefault="003370B5" w:rsidP="003370B5">
      <w:pPr>
        <w:spacing w:after="0" w:line="240" w:lineRule="auto"/>
        <w:jc w:val="center"/>
        <w:rPr>
          <w:rFonts w:ascii="Arial" w:eastAsia="Times New Roman" w:hAnsi="Arial" w:cs="Arial"/>
          <w:color w:val="000000"/>
          <w:sz w:val="36"/>
          <w:szCs w:val="36"/>
          <w:lang w:eastAsia="sv-SE"/>
        </w:rPr>
      </w:pPr>
    </w:p>
    <w:p w:rsidR="003370B5" w:rsidRDefault="003370B5" w:rsidP="003370B5">
      <w:pPr>
        <w:spacing w:after="0" w:line="240" w:lineRule="auto"/>
        <w:jc w:val="center"/>
        <w:rPr>
          <w:rFonts w:ascii="Arial" w:eastAsia="Times New Roman" w:hAnsi="Arial" w:cs="Arial"/>
          <w:color w:val="000000"/>
          <w:sz w:val="36"/>
          <w:szCs w:val="36"/>
          <w:lang w:eastAsia="sv-SE"/>
        </w:rPr>
      </w:pPr>
    </w:p>
    <w:p w:rsidR="003370B5" w:rsidRDefault="003370B5" w:rsidP="003370B5">
      <w:pPr>
        <w:spacing w:after="0" w:line="240" w:lineRule="auto"/>
        <w:jc w:val="center"/>
        <w:rPr>
          <w:rFonts w:ascii="Arial" w:eastAsia="Times New Roman" w:hAnsi="Arial" w:cs="Arial"/>
          <w:color w:val="000000"/>
          <w:sz w:val="36"/>
          <w:szCs w:val="36"/>
          <w:lang w:eastAsia="sv-SE"/>
        </w:rPr>
      </w:pPr>
    </w:p>
    <w:p w:rsidR="003370B5" w:rsidRDefault="003370B5" w:rsidP="003370B5">
      <w:pPr>
        <w:spacing w:after="0" w:line="240" w:lineRule="auto"/>
        <w:jc w:val="center"/>
        <w:rPr>
          <w:rFonts w:ascii="Arial" w:eastAsia="Times New Roman" w:hAnsi="Arial" w:cs="Arial"/>
          <w:color w:val="000000"/>
          <w:sz w:val="36"/>
          <w:szCs w:val="36"/>
          <w:lang w:eastAsia="sv-SE"/>
        </w:rPr>
      </w:pPr>
    </w:p>
    <w:p w:rsidR="003370B5" w:rsidRDefault="003370B5" w:rsidP="003370B5">
      <w:pPr>
        <w:spacing w:after="0" w:line="240" w:lineRule="auto"/>
        <w:jc w:val="center"/>
        <w:rPr>
          <w:rFonts w:ascii="Arial" w:eastAsia="Times New Roman" w:hAnsi="Arial" w:cs="Arial"/>
          <w:color w:val="000000"/>
          <w:sz w:val="36"/>
          <w:szCs w:val="36"/>
          <w:lang w:eastAsia="sv-SE"/>
        </w:rPr>
      </w:pPr>
    </w:p>
    <w:p w:rsidR="003370B5" w:rsidRDefault="003370B5" w:rsidP="003370B5">
      <w:pPr>
        <w:spacing w:after="0" w:line="240" w:lineRule="auto"/>
        <w:jc w:val="center"/>
        <w:rPr>
          <w:rFonts w:ascii="Arial" w:eastAsia="Times New Roman" w:hAnsi="Arial" w:cs="Arial"/>
          <w:color w:val="000000"/>
          <w:sz w:val="36"/>
          <w:szCs w:val="36"/>
          <w:lang w:eastAsia="sv-SE"/>
        </w:rPr>
      </w:pPr>
    </w:p>
    <w:p w:rsidR="003370B5" w:rsidRPr="003370B5" w:rsidRDefault="003370B5" w:rsidP="00F258AC">
      <w:pPr>
        <w:pStyle w:val="Heading2"/>
        <w:rPr>
          <w:rFonts w:ascii="Times New Roman" w:eastAsia="Times New Roman" w:hAnsi="Times New Roman" w:cs="Times New Roman"/>
          <w:sz w:val="24"/>
          <w:szCs w:val="24"/>
          <w:lang w:eastAsia="sv-SE"/>
        </w:rPr>
      </w:pPr>
      <w:bookmarkStart w:id="2" w:name="_Toc432590525"/>
      <w:r w:rsidRPr="003370B5">
        <w:rPr>
          <w:rFonts w:eastAsia="Times New Roman"/>
          <w:lang w:eastAsia="sv-SE"/>
        </w:rPr>
        <w:t>Sammandrag</w:t>
      </w:r>
      <w:bookmarkEnd w:id="2"/>
    </w:p>
    <w:p w:rsidR="003370B5" w:rsidRPr="003370B5" w:rsidRDefault="003370B5" w:rsidP="003370B5">
      <w:pPr>
        <w:spacing w:after="240" w:line="240" w:lineRule="auto"/>
        <w:rPr>
          <w:rFonts w:ascii="Times New Roman" w:eastAsia="Times New Roman" w:hAnsi="Times New Roman" w:cs="Times New Roman"/>
          <w:sz w:val="24"/>
          <w:szCs w:val="24"/>
          <w:lang w:eastAsia="sv-SE"/>
        </w:rPr>
      </w:pPr>
    </w:p>
    <w:p w:rsidR="003370B5" w:rsidRPr="003370B5" w:rsidRDefault="003370B5" w:rsidP="00F258AC">
      <w:pPr>
        <w:pStyle w:val="Heading2"/>
        <w:rPr>
          <w:rFonts w:ascii="Times New Roman" w:eastAsia="Times New Roman" w:hAnsi="Times New Roman" w:cs="Times New Roman"/>
          <w:sz w:val="24"/>
          <w:szCs w:val="24"/>
          <w:lang w:eastAsia="sv-SE"/>
        </w:rPr>
      </w:pPr>
      <w:bookmarkStart w:id="3" w:name="_Toc432590526"/>
      <w:r w:rsidRPr="003370B5">
        <w:rPr>
          <w:rFonts w:eastAsia="Times New Roman"/>
          <w:lang w:eastAsia="sv-SE"/>
        </w:rPr>
        <w:lastRenderedPageBreak/>
        <w:t>Inledning och frågeställning</w:t>
      </w:r>
      <w:bookmarkEnd w:id="3"/>
      <w:r w:rsidRPr="003370B5">
        <w:rPr>
          <w:rFonts w:eastAsia="Times New Roman"/>
          <w:lang w:eastAsia="sv-SE"/>
        </w:rPr>
        <w:t xml:space="preserve"> </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Framstegen och utvecklingen inom konsumentelektronik har under de senaste decennierna gått i en rasande fart framåt och elektronikprodukter blir hela tiden kraftfullare, mindre och mer kompetenta än sina föregångare. Men trots dessa framsteg så anses det att livslängden och kvaliteten på produkter har blivit sämre, samt att vi oftare får byta ut de produkter vi har i hemmet på grund utav att de går sönder eller för att hårdvaran inte längre samspelar med dagens mjukvara.</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I rapporten så behandlas frågan om planerat åldrande finns, varför kvaliteten på hårdvaran upplevs sämre idag än tidigare, samt vilka eventuella framtidsutsikter som kan finnas inom branschen.</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Rapporten förklarar även lite lätt vad som menas med en produkts livscykel och hur de företag som tillverkar produkten ser till att konsumenten vid något tillfälle måste införskaffa sig en ny produkt.</w:t>
      </w:r>
    </w:p>
    <w:p w:rsidR="003370B5" w:rsidRPr="003370B5" w:rsidRDefault="003370B5" w:rsidP="003370B5">
      <w:pPr>
        <w:spacing w:after="240" w:line="240" w:lineRule="auto"/>
        <w:rPr>
          <w:rFonts w:ascii="Times New Roman" w:eastAsia="Times New Roman" w:hAnsi="Times New Roman" w:cs="Times New Roman"/>
          <w:sz w:val="24"/>
          <w:szCs w:val="24"/>
          <w:lang w:eastAsia="sv-SE"/>
        </w:rPr>
      </w:pPr>
      <w:r w:rsidRPr="003370B5">
        <w:rPr>
          <w:rFonts w:ascii="Times New Roman" w:eastAsia="Times New Roman" w:hAnsi="Times New Roman" w:cs="Times New Roman"/>
          <w:sz w:val="24"/>
          <w:szCs w:val="24"/>
          <w:lang w:eastAsia="sv-SE"/>
        </w:rPr>
        <w:br/>
      </w:r>
    </w:p>
    <w:p w:rsidR="003370B5" w:rsidRPr="003370B5" w:rsidRDefault="003370B5" w:rsidP="00F258AC">
      <w:pPr>
        <w:pStyle w:val="Heading2"/>
        <w:rPr>
          <w:rFonts w:ascii="Times New Roman" w:eastAsia="Times New Roman" w:hAnsi="Times New Roman" w:cs="Times New Roman"/>
          <w:sz w:val="24"/>
          <w:szCs w:val="24"/>
          <w:lang w:eastAsia="sv-SE"/>
        </w:rPr>
      </w:pPr>
      <w:bookmarkStart w:id="4" w:name="_Toc432590527"/>
      <w:r w:rsidRPr="003370B5">
        <w:rPr>
          <w:rFonts w:eastAsia="Times New Roman"/>
          <w:lang w:eastAsia="sv-SE"/>
        </w:rPr>
        <w:t>Syfte</w:t>
      </w:r>
      <w:bookmarkEnd w:id="4"/>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Syftet med rapporten är att ta reda på varför konsumentelektronik har ett bäst-före-datum och vad som ligger bakom detta, både rent ekonomiskt och fysiskt med den använda hårdvaran.</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Rapporten behandlar även vad som skulle kunna göra elektronikprodukter mer pålitliga och hållbara i framtiden, samt olika initiativ som direkt påverkat hållbarheten i produkterna.</w:t>
      </w:r>
    </w:p>
    <w:p w:rsidR="003370B5" w:rsidRPr="003370B5" w:rsidRDefault="003370B5" w:rsidP="003370B5">
      <w:pPr>
        <w:spacing w:after="240" w:line="240" w:lineRule="auto"/>
        <w:rPr>
          <w:rFonts w:ascii="Times New Roman" w:eastAsia="Times New Roman" w:hAnsi="Times New Roman" w:cs="Times New Roman"/>
          <w:sz w:val="24"/>
          <w:szCs w:val="24"/>
          <w:lang w:eastAsia="sv-SE"/>
        </w:rPr>
      </w:pPr>
      <w:r w:rsidRPr="003370B5">
        <w:rPr>
          <w:rFonts w:ascii="Times New Roman" w:eastAsia="Times New Roman" w:hAnsi="Times New Roman" w:cs="Times New Roman"/>
          <w:sz w:val="24"/>
          <w:szCs w:val="24"/>
          <w:lang w:eastAsia="sv-SE"/>
        </w:rPr>
        <w:br/>
      </w:r>
    </w:p>
    <w:p w:rsidR="003370B5" w:rsidRPr="003370B5" w:rsidRDefault="003370B5" w:rsidP="00F258AC">
      <w:pPr>
        <w:pStyle w:val="Heading2"/>
        <w:rPr>
          <w:rFonts w:ascii="Times New Roman" w:eastAsia="Times New Roman" w:hAnsi="Times New Roman" w:cs="Times New Roman"/>
          <w:sz w:val="24"/>
          <w:szCs w:val="24"/>
          <w:lang w:eastAsia="sv-SE"/>
        </w:rPr>
      </w:pPr>
      <w:bookmarkStart w:id="5" w:name="_Toc432590528"/>
      <w:r w:rsidRPr="003370B5">
        <w:rPr>
          <w:rFonts w:eastAsia="Times New Roman"/>
          <w:lang w:eastAsia="sv-SE"/>
        </w:rPr>
        <w:t>Metod</w:t>
      </w:r>
      <w:bookmarkEnd w:id="5"/>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Vi har letat information och använt oss utav artiklar, vetenskapliga skrifter, avhandlingar och rapporter som vi har funnit via de databaser som tillhandahålls utav Chalmers tekniska högskola, samt övriga källor på Internet ifrån magasin och tidningar.</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Vi har även genomfört en intervju.</w:t>
      </w:r>
    </w:p>
    <w:p w:rsidR="003370B5" w:rsidRDefault="003370B5">
      <w:pPr>
        <w:rPr>
          <w:rFonts w:ascii="Arial" w:eastAsia="Times New Roman" w:hAnsi="Arial" w:cs="Arial"/>
          <w:color w:val="000000"/>
          <w:sz w:val="36"/>
          <w:szCs w:val="36"/>
          <w:lang w:eastAsia="sv-SE"/>
        </w:rPr>
      </w:pPr>
      <w:r>
        <w:rPr>
          <w:rFonts w:ascii="Arial" w:eastAsia="Times New Roman" w:hAnsi="Arial" w:cs="Arial"/>
          <w:color w:val="000000"/>
          <w:sz w:val="36"/>
          <w:szCs w:val="36"/>
          <w:lang w:eastAsia="sv-SE"/>
        </w:rPr>
        <w:br w:type="page"/>
      </w:r>
    </w:p>
    <w:p w:rsidR="003370B5" w:rsidRDefault="003370B5" w:rsidP="003370B5">
      <w:pPr>
        <w:spacing w:after="0" w:line="240" w:lineRule="auto"/>
        <w:rPr>
          <w:rFonts w:ascii="Arial" w:eastAsia="Times New Roman" w:hAnsi="Arial" w:cs="Arial"/>
          <w:color w:val="000000"/>
          <w:sz w:val="36"/>
          <w:szCs w:val="36"/>
          <w:lang w:eastAsia="sv-SE"/>
        </w:rPr>
      </w:pPr>
    </w:p>
    <w:p w:rsidR="003370B5" w:rsidRPr="003370B5" w:rsidRDefault="003370B5" w:rsidP="00F258AC">
      <w:pPr>
        <w:pStyle w:val="Heading2"/>
        <w:rPr>
          <w:rFonts w:ascii="Times New Roman" w:eastAsia="Times New Roman" w:hAnsi="Times New Roman" w:cs="Times New Roman"/>
          <w:sz w:val="24"/>
          <w:szCs w:val="24"/>
          <w:lang w:eastAsia="sv-SE"/>
        </w:rPr>
      </w:pPr>
      <w:bookmarkStart w:id="6" w:name="_Toc432590529"/>
      <w:r w:rsidRPr="003370B5">
        <w:rPr>
          <w:rFonts w:eastAsia="Times New Roman"/>
          <w:lang w:eastAsia="sv-SE"/>
        </w:rPr>
        <w:t>Livscykler och Kvalitet</w:t>
      </w:r>
      <w:bookmarkEnd w:id="6"/>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AC71C2">
      <w:pPr>
        <w:pStyle w:val="Heading3"/>
        <w:rPr>
          <w:rFonts w:eastAsia="Times New Roman"/>
          <w:lang w:eastAsia="sv-SE"/>
        </w:rPr>
      </w:pPr>
      <w:bookmarkStart w:id="7" w:name="_Toc432590530"/>
      <w:r w:rsidRPr="003370B5">
        <w:rPr>
          <w:rFonts w:eastAsia="Times New Roman"/>
          <w:lang w:eastAsia="sv-SE"/>
        </w:rPr>
        <w:t>Produktlivscykler</w:t>
      </w:r>
      <w:bookmarkEnd w:id="7"/>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Den teknik som vi idag omger oss med och som vi även är högst beroende utav, tenderar att bara leva i ett visst antal år innan vi behöver byta ut den.[1] Detta är något som majoriteten utav oss konsumenter har irriterat oss på någon gång, och man muttrar bittert när man efter bara två år känner att ens mobil, dator eller TV inte längre uppfyller de krav som man har på den. Att produkten upplevs ”utgången” eller kanske inte längre fungerar alls beror på de oftast noggrant beräknade livscyklerna som företagen och utvecklarna har tagit fram för den.</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Bytet eller behovet för en ny enhet kan bero på olika saker, men några utav de vanligaste är att produkten:</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1: Inte längre håller måttet med den senaste teknologin.</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2: Att den inte längre är designmässigt aktuell.</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3: Sociala krafter, så som vänskapskretsar eller sociala medier menar på att produkten i sig är förlegad och att du bör byta.</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4: Hårdvaran eller en viss hårdvara är ur funktion och därför fungerar produkten inte längre.</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 xml:space="preserve">De ovannämnda argumenten är något som till stor del är beräknade och skapade utav tillverkarna för den elektronik som vi konsumenter köper. </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För att kunna se till att man inte bara investerar i en produkt vid ett enstaka tillfälle, så jobbar man med så kallade ”livscykler” vid produktion. För att se till att kunden vid något tillfälle kommer att behöva byta ut sin produkt, mot något som är nyare och bättre än den gamla, för att maximera företagets vinster.[1]</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Detta är något som inte bara finns i elektronikbranschen, utan genomsyrar alla delar utav konsumentmarknaden, oavsett om det är kläder, fordon, elektronik eller övrigt husgeråd.</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AC71C2">
      <w:pPr>
        <w:pStyle w:val="Heading3"/>
        <w:rPr>
          <w:rFonts w:eastAsia="Times New Roman"/>
          <w:lang w:eastAsia="sv-SE"/>
        </w:rPr>
      </w:pPr>
      <w:bookmarkStart w:id="8" w:name="_Toc432590531"/>
      <w:r w:rsidRPr="003370B5">
        <w:rPr>
          <w:rFonts w:eastAsia="Times New Roman"/>
          <w:lang w:eastAsia="sv-SE"/>
        </w:rPr>
        <w:t>Obsolescense - ursprunget till planerat åldrande</w:t>
      </w:r>
      <w:bookmarkEnd w:id="8"/>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Ordet och konceptet ”Obsolescense” (som lite grovhugget kan översättas till ”slit och släng” på latin) grundar sig i början på 20-talet hos de Amerikanska industrierna, som då hade överfulla lagerhyllor och mer produkter än kunder att sälja dom till.[1]</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Man löste då detta problemet genom att börja designa produkter på ett sådant sätt som innebar att dom bara hade en aktivt period under en viss given tid. Detta i lag med aggressiva reklamkampanjer och publik påverkan skapade ett behov för att byta produkter oftare, vilket i sin tur innebar mer produktion och intäkter åt tillverkarna, samt en betydlig sämre hållbarhet på konsumenternas produkter.</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Ett företag vill lika mycket skapa en bra produkt samtidigt som dom tjänar så mycket pengar som möjligt på den. Det gör det därför inte ekonomiskt hållbart för ett företag inom t.ex. elektronikbranschen att skapa en produkt som kan leva i 15 år utan att behöva några större reparationer eller uppgraderingar.</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Det är även så att priset på tillverkning och de metaller och andra material som används idag inte är speciellt högt, och därav så finns inte behovet hos många tillverkare att skapa en produkt som är tänkt att leva och fungera en längre tid än som det är idag, då priset per enhet är så lågt, att det är både enkelt och billigt att framställa en ersättare. [2]</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Default="003370B5" w:rsidP="003370B5">
      <w:pPr>
        <w:spacing w:after="0" w:line="240" w:lineRule="auto"/>
        <w:jc w:val="center"/>
        <w:rPr>
          <w:rFonts w:ascii="Arial" w:eastAsia="Times New Roman" w:hAnsi="Arial" w:cs="Arial"/>
          <w:color w:val="000000"/>
          <w:sz w:val="36"/>
          <w:szCs w:val="36"/>
          <w:lang w:eastAsia="sv-SE"/>
        </w:rPr>
      </w:pPr>
    </w:p>
    <w:p w:rsidR="003370B5" w:rsidRDefault="003370B5" w:rsidP="003370B5">
      <w:pPr>
        <w:spacing w:after="0" w:line="240" w:lineRule="auto"/>
        <w:jc w:val="center"/>
        <w:rPr>
          <w:rFonts w:ascii="Arial" w:eastAsia="Times New Roman" w:hAnsi="Arial" w:cs="Arial"/>
          <w:color w:val="000000"/>
          <w:sz w:val="36"/>
          <w:szCs w:val="36"/>
          <w:lang w:eastAsia="sv-SE"/>
        </w:rPr>
      </w:pPr>
    </w:p>
    <w:p w:rsidR="003370B5" w:rsidRDefault="003370B5" w:rsidP="003370B5">
      <w:pPr>
        <w:spacing w:after="0" w:line="240" w:lineRule="auto"/>
        <w:jc w:val="center"/>
        <w:rPr>
          <w:rFonts w:ascii="Arial" w:eastAsia="Times New Roman" w:hAnsi="Arial" w:cs="Arial"/>
          <w:color w:val="000000"/>
          <w:sz w:val="36"/>
          <w:szCs w:val="36"/>
          <w:lang w:eastAsia="sv-SE"/>
        </w:rPr>
      </w:pPr>
    </w:p>
    <w:p w:rsidR="003370B5" w:rsidRDefault="003370B5" w:rsidP="003370B5">
      <w:pPr>
        <w:spacing w:after="0" w:line="240" w:lineRule="auto"/>
        <w:jc w:val="center"/>
        <w:rPr>
          <w:rFonts w:ascii="Arial" w:eastAsia="Times New Roman" w:hAnsi="Arial" w:cs="Arial"/>
          <w:color w:val="000000"/>
          <w:sz w:val="36"/>
          <w:szCs w:val="36"/>
          <w:lang w:eastAsia="sv-SE"/>
        </w:rPr>
      </w:pPr>
    </w:p>
    <w:p w:rsidR="003370B5" w:rsidRDefault="003370B5" w:rsidP="003370B5">
      <w:pPr>
        <w:spacing w:after="0" w:line="240" w:lineRule="auto"/>
        <w:jc w:val="center"/>
        <w:rPr>
          <w:rFonts w:ascii="Arial" w:eastAsia="Times New Roman" w:hAnsi="Arial" w:cs="Arial"/>
          <w:color w:val="000000"/>
          <w:sz w:val="36"/>
          <w:szCs w:val="36"/>
          <w:lang w:eastAsia="sv-SE"/>
        </w:rPr>
      </w:pPr>
    </w:p>
    <w:p w:rsidR="003370B5" w:rsidRPr="003370B5" w:rsidRDefault="003370B5" w:rsidP="00F258AC">
      <w:pPr>
        <w:pStyle w:val="Heading2"/>
        <w:rPr>
          <w:rFonts w:ascii="Times New Roman" w:eastAsia="Times New Roman" w:hAnsi="Times New Roman" w:cs="Times New Roman"/>
          <w:sz w:val="24"/>
          <w:szCs w:val="24"/>
          <w:lang w:eastAsia="sv-SE"/>
        </w:rPr>
      </w:pPr>
      <w:bookmarkStart w:id="9" w:name="_Toc432590532"/>
      <w:r w:rsidRPr="003370B5">
        <w:rPr>
          <w:rFonts w:eastAsia="Times New Roman"/>
          <w:lang w:eastAsia="sv-SE"/>
        </w:rPr>
        <w:t>Tillförlitlighet och ekonomiska faktorer vid produktion</w:t>
      </w:r>
      <w:bookmarkEnd w:id="9"/>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Dagens utveckling inom elektroniken har lett till kraftfullare maskiner i mindre format, men eftersom tillverkare konstant eftersträvar att bygga ut och maximera prestandan så tillkommer fler komponenter, vilket har lett till att det idag är svårare med felsökning och reparationer utav komponenter och delar i konsumentelektroniken enligt Daniel Eggertz, kvalitets- och produktions-chef på elektronikföretaget Fabec.</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Sättet våra enheter och apparater sätts ihop på har nämligen väldigt mycket att säga för eventuella reparationer eller uppgraderingar som konsumenten eventuellt skulle behöva göra på sin produkt.</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Förr så använde man så kallade ”hålkort” där man fäste komponenterna innan lödning. Dessa var enklare att felsöka och vid eventuella fel även enklare att byta specifika komponenter på.</w:t>
      </w:r>
      <w:r w:rsidRPr="003370B5">
        <w:rPr>
          <w:rFonts w:ascii="Times New Roman" w:eastAsia="Times New Roman" w:hAnsi="Times New Roman" w:cs="Times New Roman"/>
          <w:color w:val="000000"/>
          <w:sz w:val="24"/>
          <w:szCs w:val="24"/>
          <w:lang w:eastAsia="sv-SE"/>
        </w:rPr>
        <w:t xml:space="preserve"> </w:t>
      </w:r>
      <w:r w:rsidRPr="003370B5">
        <w:rPr>
          <w:rFonts w:ascii="Arial" w:eastAsia="Times New Roman" w:hAnsi="Arial" w:cs="Arial"/>
          <w:color w:val="000000"/>
          <w:lang w:eastAsia="sv-SE"/>
        </w:rPr>
        <w:t xml:space="preserve">I dagens allt kraftfullare och hårt minimerade teknik så använder man sig istället utav så kallad ”ytmontering”, vilket innebär att man med mikroskopisk precision kan löda fast mindre komponenter och få in fler på en mindre area. </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Tätheten mellan komponenterna och dess komprimerade storlek gör det i sin tur svårt att både felsöka och mäta fram resultat på enskilda komponenter, samt att de blir väldigt mycket svårare att byta ut och ersätta.[3] Utvecklingen av dagens elektronik sker enligt Moores lag [4] , som säger att antalet transistorer på kretskorten dubbleras vartannat år.</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Ytmontering har då i sin tur lett till att dagens produkter kan byggas kraftfullare i ett mindre format, men dom är inte skapade för att man som konsument ska kunna reparera dom ifall produkten skulle bli defekt och sluta fungera. Med tanke på elektronikens komplexitet så krävs det en mängd specialverktyg och mätare, samt en mycket hög kompetens för att kunna reparera produkterna. Det är därför ofta inte ekonomiskt hållbart att reparera en produkt idag.</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På just ytmonterade komponenter så är mängden lödtenn som kan användas mindre än vad som används vid hålmonterade komponenter vilket kan bidra till svagare leder och mekanisk ömtålighet. Vid själva lödningen av ytmonterade komponenter kan ett problem som kallas för “voiding” uppstå;  gas som bildas av flussmedlet skapar hål i lödtennet och försvagar kopplingen[5].</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På senaste tiden så har även personliga stationära och bärbara datorer, som traditionellt sett alltid har haft en ganska modulär design (dvs. med varje diskret “enhet” [processor, grafikkort, ljudkort osv.] löstagbar) börjat tillverkas med merparten av komponenterna fastlödda. Eftersom man då inte har möjlighet att byta ut komponenter mot högre presterade motsvarigheter så har man som konsument få andra alternativ än att kassera produkten när den inte längre upplevs prestera på den nivån som användaren förväntar sig.</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För produkter som mobiltelefoner som alltid traditionellt sett varit icke-modulära och mer “integrerade”, går utvecklingen raskt framåt. Allt ifrån batteritid till nya skärmtekniker bidrar till en köpkultur där varje konsument ska ha den senaste tekniken och enligt statistik uppdatera sin mobiltelefon drygt varannat år [6]. Det har tagits vissa initiativ [7] för att bekämpa detta beteende genom att införa modulära system i mobiltelefoner, som skulle kunna uppdateras komponentvis och potentiellt förlänga livslängden med flera år.</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Företag tar också hänsyn till något som kallas för ”tillförlitlighet”. Detta innebär att man ser vad kund eller användare eventuellt skulle gå miste om ifall dess produkt slutade att fungera. Om exempelvis en TV eller en telefon skulle sluta att fungera så skulle det inte ha så stora konsekvenser för användaren, medans om en pacemaker slutar att fungera så kan det ha gigantiska konsekvenser som kan kosta någon livet. Tillförlitligheten anpassas och beräknas för att kunna passa in på vissa specifika krav som konsumenten har på produkten, saker som pris, vibrationstålighet och värmehantering är några utav alla olika egenskaper som kan komma att påverka vilken standard produkten kommer att få.</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Det är som nämnt tidigare, inte heller ekonomiskt hållbart för ett företag att tillverka produkter som aldrig går sönder, eftersom det då är väldigt svårt att öka sina tillgångar och tjäna mer pengar på konsumenter ifall varje enhet håller i för många år. Konsumenter är ofta inte heller beredda att betala ett mycket högre pris för att öka tillförlitligheten på sin produkt, och därför innehar tillverkare utav produkter där tillförlitligheten och kvaliteten är utav en sämre standard fler marknadsandelar än de som tar mer pengar för en större säkerhet.</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Default="003370B5">
      <w:pPr>
        <w:rPr>
          <w:rFonts w:ascii="Arial" w:eastAsia="Times New Roman" w:hAnsi="Arial" w:cs="Arial"/>
          <w:color w:val="000000"/>
          <w:sz w:val="36"/>
          <w:szCs w:val="36"/>
          <w:lang w:eastAsia="sv-SE"/>
        </w:rPr>
      </w:pPr>
      <w:r>
        <w:rPr>
          <w:rFonts w:ascii="Arial" w:eastAsia="Times New Roman" w:hAnsi="Arial" w:cs="Arial"/>
          <w:color w:val="000000"/>
          <w:sz w:val="36"/>
          <w:szCs w:val="36"/>
          <w:lang w:eastAsia="sv-SE"/>
        </w:rPr>
        <w:br w:type="page"/>
      </w:r>
    </w:p>
    <w:p w:rsidR="003370B5" w:rsidRPr="003370B5" w:rsidRDefault="003370B5" w:rsidP="00F258AC">
      <w:pPr>
        <w:pStyle w:val="Heading2"/>
        <w:rPr>
          <w:rFonts w:ascii="Times New Roman" w:eastAsia="Times New Roman" w:hAnsi="Times New Roman" w:cs="Times New Roman"/>
          <w:sz w:val="24"/>
          <w:szCs w:val="24"/>
          <w:lang w:eastAsia="sv-SE"/>
        </w:rPr>
      </w:pPr>
      <w:bookmarkStart w:id="10" w:name="_Toc432590533"/>
      <w:r w:rsidRPr="003370B5">
        <w:rPr>
          <w:rFonts w:eastAsia="Times New Roman"/>
          <w:lang w:eastAsia="sv-SE"/>
        </w:rPr>
        <w:t>Miljödirektiv och dess konsekvenser</w:t>
      </w:r>
      <w:bookmarkEnd w:id="10"/>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För att se till att utvecklingen av elektronik fortsätter på ett hållbart och miljövänligt sätt har EU infört olika direktiv som ger riktlinjer för både tillverkare och privatpersoner som omfattar hur man tillverkar och gör sig av med elektronikprodukter. Bland de viktigaste är RoHS- och WEEE-direktiven.</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 xml:space="preserve">RoHS-direktivet (Restriction of Hazardous Substances) [8] säger bland annat att man måste begränsa användningen av tungmetallerna kvicksilver, bly, kadmium och sexvärt krom samt olika bromerade flamskyddsmedel i  elektronikprodukter. </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Detta har lett till att tillverkare runt om i världen anpassat deras globalt marknadsförda produkter efter RoHS-direktivets krav för att få tillstånd att säljas inom EU, vilket ur en miljösynpunkt kan ha haft en positiv påverkan även i icke EU-länder där man inte nödvändigtvis har lika stränga krav.  </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Förutom de ämnen som RoHS-direktivet omfattar försöker man även på annat håll begränsa användandet av t.ex. nickel-kadmiumbatterier (NiCd) samt PVC-plaster som kan bilda giftiga dioxiner vid förbränning [9].</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 xml:space="preserve">RoHS direktivet har dock inte medfört endast positiva förändringar inom elektronikindustrin. Ett av de mer påtagliga konsekvenserna av just RoHS-direktivet är den kraftiga begränsningen i användningen av bly, vilket även innefattar lödtenn, som förr alltid innehöll stora mängder bly (mellan 5%-70%). </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 xml:space="preserve">Lödtenn används för att sammanfoga de olika elektroniska komponenterna med kretskortet och med varandra. Blytillsatsen har traditionellt sett använts för att ge lödtennet fördelaktiga karakteristiska drag som gjort den lättare att arbeta med (såsom en lägre smälttemperatur), men med införandet av RoHS-direktivet har man varit tvungen att ta fram nya, tämligen oprövade legeringar som kan i vissa fall ha oförutsägbara karakteristiker i längden. </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En direkt konsekvens av bytet till mer miljövänliga, blyfria legeringar är så kallade “</w:t>
      </w:r>
      <w:r w:rsidRPr="003370B5">
        <w:rPr>
          <w:rFonts w:ascii="Arial" w:eastAsia="Times New Roman" w:hAnsi="Arial" w:cs="Arial"/>
          <w:i/>
          <w:iCs/>
          <w:color w:val="000000"/>
          <w:lang w:eastAsia="sv-SE"/>
        </w:rPr>
        <w:t>tin whiskers</w:t>
      </w:r>
      <w:r w:rsidRPr="003370B5">
        <w:rPr>
          <w:rFonts w:ascii="Arial" w:eastAsia="Times New Roman" w:hAnsi="Arial" w:cs="Arial"/>
          <w:color w:val="000000"/>
          <w:lang w:eastAsia="sv-SE"/>
        </w:rPr>
        <w:t>” [</w:t>
      </w:r>
      <w:r w:rsidRPr="003370B5">
        <w:rPr>
          <w:rFonts w:ascii="Arial" w:eastAsia="Times New Roman" w:hAnsi="Arial" w:cs="Arial"/>
          <w:i/>
          <w:iCs/>
          <w:color w:val="000000"/>
          <w:lang w:eastAsia="sv-SE"/>
        </w:rPr>
        <w:t>metallmorrhår</w:t>
      </w:r>
      <w:r w:rsidRPr="003370B5">
        <w:rPr>
          <w:rFonts w:ascii="Arial" w:eastAsia="Times New Roman" w:hAnsi="Arial" w:cs="Arial"/>
          <w:color w:val="000000"/>
          <w:lang w:eastAsia="sv-SE"/>
        </w:rPr>
        <w:t xml:space="preserve"> på svenska], ett fenomen där mikroskopiska filament “växer” ut från lödfogarna med åren[10], vilket är en högst oönskad egenskap eftersom det lätt kan orsaka kortslutningar och i vissa fall även radiostörningar (filamenterna kan agera som mikroskopiska antenner i högfrekventa kretsar). Detta har lett till flera dokumenterade fall där “livsviktig” elektronik har spontant kortslutit och slutat att fungera[11].</w:t>
      </w:r>
    </w:p>
    <w:p w:rsidR="003370B5" w:rsidRPr="003370B5" w:rsidRDefault="003370B5" w:rsidP="003370B5">
      <w:pPr>
        <w:spacing w:after="0" w:line="240" w:lineRule="auto"/>
        <w:ind w:firstLine="720"/>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 xml:space="preserve">Trots att man länge har känt till fenomenet så har forskning inte kunnat visa exakt hur det uppstår och det går därmed inte att förhindra helt. Blytillsatsen har dock bevisligen förebyggt uppståndet av </w:t>
      </w:r>
      <w:r w:rsidRPr="003370B5">
        <w:rPr>
          <w:rFonts w:ascii="Arial" w:eastAsia="Times New Roman" w:hAnsi="Arial" w:cs="Arial"/>
          <w:i/>
          <w:iCs/>
          <w:color w:val="000000"/>
          <w:lang w:eastAsia="sv-SE"/>
        </w:rPr>
        <w:t>tin-whiskering</w:t>
      </w:r>
      <w:r w:rsidRPr="003370B5">
        <w:rPr>
          <w:rFonts w:ascii="Arial" w:eastAsia="Times New Roman" w:hAnsi="Arial" w:cs="Arial"/>
          <w:color w:val="000000"/>
          <w:lang w:eastAsia="sv-SE"/>
        </w:rPr>
        <w:t>, något som blyfria legeringar inte verkar kunna åstadkomma, och problemet har återigen blivit aktuellt för elektroniktillverkare och forskare.</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 xml:space="preserve">I praktiken så är fenomenet relativt ovanligt men den potentiella skadan den kan orsaka är mycket stor. I vanlig konsumentelektronik som har en förhållandevis låg kvalitetsstandard gentemot industriell elektronik så kan </w:t>
      </w:r>
      <w:r w:rsidRPr="003370B5">
        <w:rPr>
          <w:rFonts w:ascii="Arial" w:eastAsia="Times New Roman" w:hAnsi="Arial" w:cs="Arial"/>
          <w:i/>
          <w:iCs/>
          <w:color w:val="000000"/>
          <w:lang w:eastAsia="sv-SE"/>
        </w:rPr>
        <w:t>tin-whiskers</w:t>
      </w:r>
      <w:r w:rsidRPr="003370B5">
        <w:rPr>
          <w:rFonts w:ascii="Arial" w:eastAsia="Times New Roman" w:hAnsi="Arial" w:cs="Arial"/>
          <w:color w:val="000000"/>
          <w:lang w:eastAsia="sv-SE"/>
        </w:rPr>
        <w:t xml:space="preserve"> möjligtvis förekomma oftare och på så sätt förkorta den genomsnittliga livslängden på slutprodukten avsevärt.</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 xml:space="preserve">Trots att konstruktionen av mobila enheter samt användningen av giftiga material ser annorlunda ut idag, från en materiell synpunkt, så är de allra flesta material man använder i konsumentelektronik i stort sett samma idag som det var för 15 år sedan [12].  Den största delen av telefonen är i de allra flesta fall det omslutande skalet som oftast är tillverkat av plast eller aluminium, kretskorten är mer komplicerade men består mestadels av samma material som tidigare samt så består de flesta kopplingar fortfarande av koppar, guld eller andra ädelmetaller. </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En stor skillnad finns dock och det är att man idag oftast använder Li-Po-batterier (Litium-polymer) i mobila enheter då de är mer effektiva, säkra samt mer miljövänliga än NiCd-batterier (Nickel-Kadmium).</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Återvinningen av mobila enheter skiljer sig inte nämnvärt från de flesta andra elektronikprodukter idag, i Sverige är det till exempel Sims Elektronikåtervinning som har hand om den största delen av Sveriges elektronikskrot och deras arbetssätt beskrivs kortfattat som: Borttagning av batteriet, skärmen och ev. metall skal som återvinns på annat håll, sönderskärning av produkten i småbitar som sedan sorteras beroende på densitet och magnetism, slutligen skickas det som är kvar av produkten till Bolidens kopparsmälta för att utvinna de ädelmetaller som finns i [13].</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 xml:space="preserve">Just ädelmetallerna är det man är ute efter när man återvinner elektronikskrot när man ser det ur en ekonomisk synpunkt, det är nämligen nästan enbart ädelmetallerna som har ett ekonomiskt värde som är värt att sträva efter. </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Den ekonomiska aspekten dock den som bromsar återvinningen av elektronikprodukter mest, eftersom man idag har möjligheten att återvinna nästan alla olika ämnen som elektronikprodukter är uppbyggda av, men väljer att inte göra det eftersom man inte tjänar tillräckligt mycket pengar på det.</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Ett annat av de tidigare nämnda direktiv som EU har arbetat fram heter WEEE-direktivet (Waste Electrical and Electrical Equipment) [14], som riktar sig mot både företag och privatpersoner. WEEE-direktivet omfattar en stor mängd olika regler och mål inom elektronikåtervinning. Ett av de mål som man jobbar hårdast med för att uppnå omfattar att man skall återvinna minst 85% av all elektronikskrot innan 2016, detta innebär bl.a. att man måste återvinna en viss mängd elektronikskrot per person/år. Den främsta anledningen till att man införde WEEE-direktivet var att bekämpa den ständigt ökande mängd elektronikskrot som man måste begränsa för att nå en hållbar framtid.</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 xml:space="preserve">    </w:t>
      </w:r>
    </w:p>
    <w:p w:rsidR="003370B5" w:rsidRPr="003370B5" w:rsidRDefault="003370B5" w:rsidP="003370B5">
      <w:pPr>
        <w:spacing w:after="240" w:line="240" w:lineRule="auto"/>
        <w:rPr>
          <w:rFonts w:ascii="Times New Roman" w:eastAsia="Times New Roman" w:hAnsi="Times New Roman" w:cs="Times New Roman"/>
          <w:sz w:val="24"/>
          <w:szCs w:val="24"/>
          <w:lang w:eastAsia="sv-SE"/>
        </w:rPr>
      </w:pPr>
      <w:r w:rsidRPr="003370B5">
        <w:rPr>
          <w:rFonts w:ascii="Times New Roman" w:eastAsia="Times New Roman" w:hAnsi="Times New Roman" w:cs="Times New Roman"/>
          <w:color w:val="000000"/>
          <w:sz w:val="24"/>
          <w:szCs w:val="24"/>
          <w:lang w:eastAsia="sv-SE"/>
        </w:rPr>
        <w:br/>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Default="003370B5">
      <w:pPr>
        <w:rPr>
          <w:rFonts w:ascii="Arial" w:eastAsia="Times New Roman" w:hAnsi="Arial" w:cs="Arial"/>
          <w:color w:val="000000"/>
          <w:sz w:val="36"/>
          <w:szCs w:val="36"/>
          <w:lang w:eastAsia="sv-SE"/>
        </w:rPr>
      </w:pPr>
      <w:r>
        <w:rPr>
          <w:rFonts w:ascii="Arial" w:eastAsia="Times New Roman" w:hAnsi="Arial" w:cs="Arial"/>
          <w:color w:val="000000"/>
          <w:sz w:val="36"/>
          <w:szCs w:val="36"/>
          <w:lang w:eastAsia="sv-SE"/>
        </w:rPr>
        <w:br w:type="page"/>
      </w:r>
    </w:p>
    <w:p w:rsidR="003370B5" w:rsidRPr="003370B5" w:rsidRDefault="003370B5" w:rsidP="00F258AC">
      <w:pPr>
        <w:pStyle w:val="Heading2"/>
        <w:rPr>
          <w:rFonts w:ascii="Times New Roman" w:eastAsia="Times New Roman" w:hAnsi="Times New Roman" w:cs="Times New Roman"/>
          <w:sz w:val="24"/>
          <w:szCs w:val="24"/>
          <w:lang w:eastAsia="sv-SE"/>
        </w:rPr>
      </w:pPr>
      <w:bookmarkStart w:id="11" w:name="_Toc432590534"/>
      <w:r w:rsidRPr="003370B5">
        <w:rPr>
          <w:rFonts w:eastAsia="Times New Roman"/>
          <w:lang w:eastAsia="sv-SE"/>
        </w:rPr>
        <w:t>Grafen - Kvalitet för framtiden</w:t>
      </w:r>
      <w:bookmarkEnd w:id="11"/>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Kvalitetsförbättring på elektroniska produkter kan göras på många sätt.</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Förstärkning av material vi använder i komponenter, genom att skydda dem med silikon eller att använda sig utav modifierade metoder redan vid tillverkning av produkter.</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 xml:space="preserve">Men den mest intressanta och revolutionerande upptäckten är grafenet, som markant kan komma att hjälpa kvalitetsutvecklingen inom inte bara konsumentelektroniken utan all elektronik. </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 xml:space="preserve">Grafen består utav grafit, som endast är ett atomlager tunt, och år 2004 så gjorde forskare vid Manchester University i England nya upptäckter inom området, som resulterade i ett Nobelpris i fysik 2010. Forskarna hade upptäckt att man med helt vanlig tejp, kan bryta loss grafenflagor från grafitens yta. Forskningen visade att det supertunna och genomskinliga grafenet har många bra egenskaper och funktioner, då det kan både böjas och töjas, samt leda både elektricitet och värme på ett exceptionellt bra sätt. Materialet grafen är dessutom hårdare än diamant, som tidigare har varit det mest robusta materialet som vi känt till, vilket gör grafen till det hårdaste materialet som vi idag känner till.[15] </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Forskare hävdar att upptäckten har lett till att en ny byggkloss har uppenbarat sig.</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Att grafen i framtiden kommer att kunna ersätta en stor del utav materialet i komponenterna som vi idag använder är numera ett faktum, detta grundas på den forskning som sker vid Manchester University, där otroliga framsteg inom området har tagits fram. Forskningen inom området visar att grafen kan kombineras genom en så kallad ”sandwichstruktur”, en typ utav lager-på-lager funktion, vilket innebär att man kan bygga på ett lager grafen med fler lager grafen eller andra relevanta material, så som elektriska ledare.</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Med hjälp utav den tidigare forskningen på grafen och dess egenskaper, så har forskare vid Chalmers Tekniska Högskola i Göteborg kunnat fortsätta forskningen inom området om grafen som en ny ledare inom komponentutveckling och har nu tagit fram en transistor som har grafenet som en utav huvudbyggstenarna.[16] Denna transistor har en betydligt mindre effektförbrukning än tidigare transistorer, vilket innebär att man på lång sikt kan bygga bättre, energieffektivare komponenter.</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Beräkningar som gjorts utav forskare på Chalmers Tekniska Högskola säger att man skulle kunna tillverka transistorer som gör det möjligt att komma upp i terahertzområdet, något som tidigare har varit svårt att framställa och realisera.[17]</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Detta innebär då alltså att grafen skulle kunna ersätta många utav de komponenter som idag byggs med koppar och kisel, var egenskaper är långt mycket sämre än de hos grafenet.</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Med tanke på grafenets otroliga hårdhet/hållbarhet, genomskinliga yta, samt materialets flexibilitet så skulle det i framtiden kunna bli en huvudkomponent för t.ex. pekskärmar i mobiler, surfplattor och datorer.</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Detta skulle förlänga livslängden och hållbarheten hos våra mobila enheter, som idag har stora problem med de allt större skärmarna och dess ömtålighet.[18]</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Man ser även en stor potential inom många andra branscher, så som medicin, bygg och bil branschen, så väl som att kunna göra lättare och stabilare flygplan.</w:t>
      </w:r>
    </w:p>
    <w:p w:rsidR="003370B5" w:rsidRDefault="003370B5">
      <w:pPr>
        <w:rPr>
          <w:rFonts w:ascii="Arial" w:eastAsia="Times New Roman" w:hAnsi="Arial" w:cs="Arial"/>
          <w:color w:val="000000"/>
          <w:sz w:val="36"/>
          <w:szCs w:val="36"/>
          <w:lang w:eastAsia="sv-SE"/>
        </w:rPr>
      </w:pPr>
      <w:r>
        <w:rPr>
          <w:rFonts w:ascii="Arial" w:eastAsia="Times New Roman" w:hAnsi="Arial" w:cs="Arial"/>
          <w:color w:val="000000"/>
          <w:sz w:val="36"/>
          <w:szCs w:val="36"/>
          <w:lang w:eastAsia="sv-SE"/>
        </w:rPr>
        <w:br w:type="page"/>
      </w:r>
    </w:p>
    <w:p w:rsidR="003370B5" w:rsidRPr="003370B5" w:rsidRDefault="003370B5" w:rsidP="00F258AC">
      <w:pPr>
        <w:pStyle w:val="Heading2"/>
        <w:rPr>
          <w:rFonts w:ascii="Times New Roman" w:eastAsia="Times New Roman" w:hAnsi="Times New Roman" w:cs="Times New Roman"/>
          <w:sz w:val="24"/>
          <w:szCs w:val="24"/>
          <w:lang w:eastAsia="sv-SE"/>
        </w:rPr>
      </w:pPr>
      <w:bookmarkStart w:id="12" w:name="_Toc432590535"/>
      <w:r w:rsidRPr="003370B5">
        <w:rPr>
          <w:rFonts w:eastAsia="Times New Roman"/>
          <w:lang w:eastAsia="sv-SE"/>
        </w:rPr>
        <w:t>Diskussion och slutsats</w:t>
      </w:r>
      <w:bookmarkEnd w:id="12"/>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Man kan alltså komma fram till att planerat åldrande faktiskt existerar, och att det är vi konsumenter som drabbas negativt utav det. För att företagen ska kunna fortsätta växa och maximera sina inkomster så krävs det att vi konsumenter fortsätter att köpa deras produkter. Därav så måste det finnas ett “bäst-före-datum”.</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Det planerande åldrandet är starkt kopplat till hur mycket pengar konsumenten är beredd att spendera, för att produkten ska ge en viss driftsäkerhet och hållbarhet.</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Man kan då fråga sig om tillverkare inte kan göra mer hållbara produkter för en rimlig summa pengar.</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Svaret är då alltså att företag och tillverkare utav konsumentelektronik alltid kommer att eftersträva mer tillgångar, därav så kommer det alltid finnas ett bäst före datum på våra produkter. Och på grund utav våra teknologiska framsteg, så blir det allt svårare att felsöka och reparera dom.</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Eftersom utvecklingen av mobila enheter har fortskridit med den fart som det historiskt har gjort är det inte konstigt att mängden elektronikskrot ökar för varje år. Därför är både RoHS- och WEEE-direktiven grundläggande byggstenar som är nödvändiga för att minska mängden utsläpp både vid tillverkning och återvinning. Dessa direktiv ger en tydlig bild av hur man måste anpassa dagens samhälle för att få en hållbar framtid genom att effektivt begränsa användandet av farliga ämnen.</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Även om dessa direktiv kanske inte har inneburit det bästa i ren kvalitetsaspekt, så är miljö och återvinning något som vi måste ta hänsyn till och därför arbeta runt, för att kunna öka kvaliteten på komponentnivå så krävs användning utav bättre legeringar.</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Att grafenets roll kommer spela in på framtidens konsumentelektronik är ett faktum. Den enda nackdelen med detta supermaterial ligger i framställningsmetoden.</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 xml:space="preserve">Det är nämligen så att någon bra produktionsmetod för att framställa stora kvantiteter utav grafen på ett ofarlig sätt, ännu inte finns. </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Som skrivet tidigare så består grafen utav ett väldigt, väldigt tunt lager grafit, som i sin tur består utav kol. Om man då ser till det faktum att kol är det 4:e vanligaste ämnet i vårt universum, så innebär det att vi kommer att ha i stort sätt obegränsad med tillgång till grafen, men då krävs just att vi lyckas hitta en stabil tillverkningsmetod.</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Framtiden för konsumentelektronik ligger i grafenet vilket är det alla hoppas på. Pga dess unika egenskaper så är det ett mångsidigt material som kommer att förändra allt. Vi anser att ämnet är värt att satsa på och kommer öka prestanda och kvalitet i all i princip all elektronik.</w:t>
      </w:r>
    </w:p>
    <w:p w:rsidR="003370B5" w:rsidRPr="003370B5" w:rsidRDefault="003370B5" w:rsidP="003370B5">
      <w:pPr>
        <w:spacing w:after="240" w:line="240" w:lineRule="auto"/>
        <w:rPr>
          <w:rFonts w:ascii="Times New Roman" w:eastAsia="Times New Roman" w:hAnsi="Times New Roman" w:cs="Times New Roman"/>
          <w:sz w:val="24"/>
          <w:szCs w:val="24"/>
          <w:lang w:eastAsia="sv-SE"/>
        </w:rPr>
      </w:pPr>
      <w:r w:rsidRPr="003370B5">
        <w:rPr>
          <w:rFonts w:ascii="Times New Roman" w:eastAsia="Times New Roman" w:hAnsi="Times New Roman" w:cs="Times New Roman"/>
          <w:color w:val="000000"/>
          <w:sz w:val="24"/>
          <w:szCs w:val="24"/>
          <w:lang w:eastAsia="sv-SE"/>
        </w:rPr>
        <w:br/>
      </w:r>
      <w:r w:rsidRPr="003370B5">
        <w:rPr>
          <w:rFonts w:ascii="Times New Roman" w:eastAsia="Times New Roman" w:hAnsi="Times New Roman" w:cs="Times New Roman"/>
          <w:color w:val="000000"/>
          <w:sz w:val="24"/>
          <w:szCs w:val="24"/>
          <w:lang w:eastAsia="sv-SE"/>
        </w:rPr>
        <w:br/>
      </w:r>
      <w:r w:rsidRPr="003370B5">
        <w:rPr>
          <w:rFonts w:ascii="Times New Roman" w:eastAsia="Times New Roman" w:hAnsi="Times New Roman" w:cs="Times New Roman"/>
          <w:color w:val="000000"/>
          <w:sz w:val="24"/>
          <w:szCs w:val="24"/>
          <w:lang w:eastAsia="sv-SE"/>
        </w:rPr>
        <w:br/>
      </w:r>
    </w:p>
    <w:p w:rsidR="003370B5" w:rsidRPr="003370B5" w:rsidRDefault="003370B5" w:rsidP="003370B5">
      <w:pPr>
        <w:spacing w:after="240" w:line="240" w:lineRule="auto"/>
        <w:rPr>
          <w:rFonts w:ascii="Times New Roman" w:eastAsia="Times New Roman" w:hAnsi="Times New Roman" w:cs="Times New Roman"/>
          <w:sz w:val="24"/>
          <w:szCs w:val="24"/>
          <w:lang w:eastAsia="sv-SE"/>
        </w:rPr>
      </w:pPr>
    </w:p>
    <w:p w:rsidR="003370B5" w:rsidRDefault="003370B5">
      <w:pPr>
        <w:rPr>
          <w:rFonts w:ascii="Arial" w:eastAsia="Times New Roman" w:hAnsi="Arial" w:cs="Arial"/>
          <w:color w:val="000000"/>
          <w:sz w:val="36"/>
          <w:szCs w:val="36"/>
          <w:lang w:val="en-US" w:eastAsia="sv-SE"/>
        </w:rPr>
      </w:pPr>
      <w:r>
        <w:rPr>
          <w:rFonts w:ascii="Arial" w:eastAsia="Times New Roman" w:hAnsi="Arial" w:cs="Arial"/>
          <w:color w:val="000000"/>
          <w:sz w:val="36"/>
          <w:szCs w:val="36"/>
          <w:lang w:val="en-US" w:eastAsia="sv-SE"/>
        </w:rPr>
        <w:br w:type="page"/>
      </w:r>
    </w:p>
    <w:p w:rsidR="003370B5" w:rsidRPr="003370B5" w:rsidRDefault="003370B5" w:rsidP="00F258AC">
      <w:pPr>
        <w:pStyle w:val="Heading2"/>
        <w:rPr>
          <w:rFonts w:ascii="Times New Roman" w:eastAsia="Times New Roman" w:hAnsi="Times New Roman" w:cs="Times New Roman"/>
          <w:sz w:val="24"/>
          <w:szCs w:val="24"/>
          <w:lang w:val="en-US" w:eastAsia="sv-SE"/>
        </w:rPr>
      </w:pPr>
      <w:bookmarkStart w:id="13" w:name="_Toc432590536"/>
      <w:r w:rsidRPr="003370B5">
        <w:rPr>
          <w:rFonts w:eastAsia="Times New Roman"/>
          <w:lang w:val="en-US" w:eastAsia="sv-SE"/>
        </w:rPr>
        <w:t>Källor</w:t>
      </w:r>
      <w:bookmarkEnd w:id="13"/>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r w:rsidRPr="003370B5">
        <w:rPr>
          <w:rFonts w:ascii="Arial" w:eastAsia="Times New Roman" w:hAnsi="Arial" w:cs="Arial"/>
          <w:color w:val="000000"/>
          <w:shd w:val="clear" w:color="auto" w:fill="FFFFFF"/>
          <w:lang w:val="en-US" w:eastAsia="sv-SE"/>
        </w:rPr>
        <w:t xml:space="preserve">[1] </w:t>
      </w:r>
      <w:r w:rsidRPr="003370B5">
        <w:rPr>
          <w:rFonts w:ascii="Arial" w:eastAsia="Times New Roman" w:hAnsi="Arial" w:cs="Arial"/>
          <w:color w:val="000000"/>
          <w:lang w:val="en-US" w:eastAsia="sv-SE"/>
        </w:rPr>
        <w:t xml:space="preserve">T.Cooper, </w:t>
      </w:r>
      <w:hyperlink r:id="rId6" w:history="1">
        <w:r w:rsidRPr="003370B5">
          <w:rPr>
            <w:rFonts w:ascii="Arial" w:eastAsia="Times New Roman" w:hAnsi="Arial" w:cs="Arial"/>
            <w:i/>
            <w:iCs/>
            <w:color w:val="000000"/>
            <w:sz w:val="23"/>
            <w:szCs w:val="23"/>
            <w:shd w:val="clear" w:color="auto" w:fill="FFFFFF"/>
            <w:lang w:val="en-US" w:eastAsia="sv-SE"/>
          </w:rPr>
          <w:t>Longer lasting products: alternatives to the throwaway society</w:t>
        </w:r>
      </w:hyperlink>
      <w:r w:rsidRPr="003370B5">
        <w:rPr>
          <w:rFonts w:ascii="Arial" w:eastAsia="Times New Roman" w:hAnsi="Arial" w:cs="Arial"/>
          <w:i/>
          <w:iCs/>
          <w:color w:val="000000"/>
          <w:lang w:val="en-US" w:eastAsia="sv-SE"/>
        </w:rPr>
        <w:t xml:space="preserve">, </w:t>
      </w:r>
      <w:r w:rsidRPr="003370B5">
        <w:rPr>
          <w:rFonts w:ascii="Arial" w:eastAsia="Times New Roman" w:hAnsi="Arial" w:cs="Arial"/>
          <w:color w:val="000000"/>
          <w:lang w:val="en-US" w:eastAsia="sv-SE"/>
        </w:rPr>
        <w:t>Farnham England,</w:t>
      </w:r>
      <w:r w:rsidRPr="003370B5">
        <w:rPr>
          <w:rFonts w:ascii="Arial" w:eastAsia="Times New Roman" w:hAnsi="Arial" w:cs="Arial"/>
          <w:i/>
          <w:iCs/>
          <w:color w:val="000000"/>
          <w:lang w:val="en-US" w:eastAsia="sv-SE"/>
        </w:rPr>
        <w:t xml:space="preserve"> </w:t>
      </w:r>
      <w:r w:rsidRPr="003370B5">
        <w:rPr>
          <w:rFonts w:ascii="Arial" w:eastAsia="Times New Roman" w:hAnsi="Arial" w:cs="Arial"/>
          <w:color w:val="000000"/>
          <w:shd w:val="clear" w:color="auto" w:fill="F8F8F8"/>
          <w:lang w:val="en-US" w:eastAsia="sv-SE"/>
        </w:rPr>
        <w:t>Ashgate</w:t>
      </w:r>
      <w:r w:rsidRPr="003370B5">
        <w:rPr>
          <w:rFonts w:ascii="Arial" w:eastAsia="Times New Roman" w:hAnsi="Arial" w:cs="Arial"/>
          <w:i/>
          <w:iCs/>
          <w:color w:val="000000"/>
          <w:shd w:val="clear" w:color="auto" w:fill="F8F8F8"/>
          <w:lang w:val="en-US" w:eastAsia="sv-SE"/>
        </w:rPr>
        <w:t xml:space="preserve"> </w:t>
      </w:r>
      <w:r w:rsidRPr="003370B5">
        <w:rPr>
          <w:rFonts w:ascii="Arial" w:eastAsia="Times New Roman" w:hAnsi="Arial" w:cs="Arial"/>
          <w:color w:val="000000"/>
          <w:shd w:val="clear" w:color="auto" w:fill="F8F8F8"/>
          <w:lang w:val="en-US" w:eastAsia="sv-SE"/>
        </w:rPr>
        <w:t>Publishing Ltd, 2010, sida #39-107, #319-359</w:t>
      </w:r>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hyperlink r:id="rId7" w:history="1">
        <w:r w:rsidRPr="003370B5">
          <w:rPr>
            <w:rFonts w:ascii="Arial" w:eastAsia="Times New Roman" w:hAnsi="Arial" w:cs="Arial"/>
            <w:color w:val="1155CC"/>
            <w:u w:val="single"/>
            <w:lang w:val="en-US" w:eastAsia="sv-SE"/>
          </w:rPr>
          <w:t>http://site.ebrary.com/lib/chalmers/detail.action?docID=10411940</w:t>
        </w:r>
      </w:hyperlink>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r w:rsidRPr="003370B5">
        <w:rPr>
          <w:rFonts w:ascii="Arial" w:eastAsia="Times New Roman" w:hAnsi="Arial" w:cs="Arial"/>
          <w:color w:val="000000"/>
          <w:lang w:val="en-US" w:eastAsia="sv-SE"/>
        </w:rPr>
        <w:t>Hämtad: 18 Sep 2015</w:t>
      </w:r>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r w:rsidRPr="003370B5">
        <w:rPr>
          <w:rFonts w:ascii="Arial" w:eastAsia="Times New Roman" w:hAnsi="Arial" w:cs="Arial"/>
          <w:color w:val="000000"/>
          <w:shd w:val="clear" w:color="auto" w:fill="FFFFFF"/>
          <w:lang w:val="en-US" w:eastAsia="sv-SE"/>
        </w:rPr>
        <w:t>[2] G.T.Kurian</w:t>
      </w:r>
      <w:r w:rsidRPr="003370B5">
        <w:rPr>
          <w:rFonts w:ascii="Arial" w:eastAsia="Times New Roman" w:hAnsi="Arial" w:cs="Arial"/>
          <w:color w:val="000000"/>
          <w:sz w:val="18"/>
          <w:szCs w:val="18"/>
          <w:shd w:val="clear" w:color="auto" w:fill="FFFFFF"/>
          <w:lang w:val="en-US" w:eastAsia="sv-SE"/>
        </w:rPr>
        <w:t xml:space="preserve">, </w:t>
      </w:r>
      <w:r w:rsidRPr="003370B5">
        <w:rPr>
          <w:rFonts w:ascii="Arial" w:eastAsia="Times New Roman" w:hAnsi="Arial" w:cs="Arial"/>
          <w:color w:val="000000"/>
          <w:shd w:val="clear" w:color="auto" w:fill="FFFFFF"/>
          <w:lang w:val="en-US" w:eastAsia="sv-SE"/>
        </w:rPr>
        <w:t xml:space="preserve">The AMA dictionary of business and management, American Management Association(AMA), New York, USA, 2013, </w:t>
      </w:r>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r w:rsidRPr="003370B5">
        <w:rPr>
          <w:rFonts w:ascii="Arial" w:eastAsia="Times New Roman" w:hAnsi="Arial" w:cs="Arial"/>
          <w:color w:val="000000"/>
          <w:sz w:val="21"/>
          <w:szCs w:val="21"/>
          <w:shd w:val="clear" w:color="auto" w:fill="FFFFFF"/>
          <w:lang w:val="en-US" w:eastAsia="sv-SE"/>
        </w:rPr>
        <w:t>Databasen: books 24x7, http://library.books24x7.com.proxy.lib.chalmers.se/toc.aspx?site=Y7V97&amp;bookid=50845</w:t>
      </w:r>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r w:rsidRPr="003370B5">
        <w:rPr>
          <w:rFonts w:ascii="Arial" w:eastAsia="Times New Roman" w:hAnsi="Arial" w:cs="Arial"/>
          <w:color w:val="000000"/>
          <w:sz w:val="21"/>
          <w:szCs w:val="21"/>
          <w:shd w:val="clear" w:color="auto" w:fill="FFFFFF"/>
          <w:lang w:val="en-US" w:eastAsia="sv-SE"/>
        </w:rPr>
        <w:t>Hämtad: 18 Sep 2015</w:t>
      </w:r>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r w:rsidRPr="003370B5">
        <w:rPr>
          <w:rFonts w:ascii="Arial" w:eastAsia="Times New Roman" w:hAnsi="Arial" w:cs="Arial"/>
          <w:color w:val="000000"/>
          <w:lang w:val="en-US" w:eastAsia="sv-SE"/>
        </w:rPr>
        <w:t>[3]</w:t>
      </w:r>
      <w:r w:rsidRPr="003370B5">
        <w:rPr>
          <w:rFonts w:ascii="Arial" w:eastAsia="Times New Roman" w:hAnsi="Arial" w:cs="Arial"/>
          <w:color w:val="252525"/>
          <w:lang w:val="en-US" w:eastAsia="sv-SE"/>
        </w:rPr>
        <w:t>M. Judd, K. Brindley, “</w:t>
      </w:r>
      <w:r w:rsidRPr="003370B5">
        <w:rPr>
          <w:rFonts w:ascii="Arial" w:eastAsia="Times New Roman" w:hAnsi="Arial" w:cs="Arial"/>
          <w:i/>
          <w:iCs/>
          <w:color w:val="252525"/>
          <w:lang w:val="en-US" w:eastAsia="sv-SE"/>
        </w:rPr>
        <w:t>Soldering in electronics Assembly (Second Edition),” ScienceDirect</w:t>
      </w:r>
      <w:r w:rsidRPr="003370B5">
        <w:rPr>
          <w:rFonts w:ascii="Arial" w:eastAsia="Times New Roman" w:hAnsi="Arial" w:cs="Arial"/>
          <w:color w:val="252525"/>
          <w:lang w:val="en-US" w:eastAsia="sv-SE"/>
        </w:rPr>
        <w:t>,1999;</w:t>
      </w:r>
      <w:hyperlink r:id="rId8" w:history="1">
        <w:r w:rsidRPr="003370B5">
          <w:rPr>
            <w:rFonts w:ascii="Arial" w:eastAsia="Times New Roman" w:hAnsi="Arial" w:cs="Arial"/>
            <w:color w:val="252525"/>
            <w:lang w:val="en-US" w:eastAsia="sv-SE"/>
          </w:rPr>
          <w:t xml:space="preserve"> </w:t>
        </w:r>
      </w:hyperlink>
    </w:p>
    <w:p w:rsidR="003370B5" w:rsidRPr="003370B5" w:rsidRDefault="003370B5" w:rsidP="003370B5">
      <w:pPr>
        <w:spacing w:after="0" w:line="240" w:lineRule="auto"/>
        <w:rPr>
          <w:rFonts w:ascii="Times New Roman" w:eastAsia="Times New Roman" w:hAnsi="Times New Roman" w:cs="Times New Roman"/>
          <w:sz w:val="24"/>
          <w:szCs w:val="24"/>
          <w:lang w:eastAsia="sv-SE"/>
        </w:rPr>
      </w:pPr>
      <w:hyperlink r:id="rId9" w:history="1">
        <w:r w:rsidRPr="003370B5">
          <w:rPr>
            <w:rFonts w:ascii="Arial" w:eastAsia="Times New Roman" w:hAnsi="Arial" w:cs="Arial"/>
            <w:color w:val="1155CC"/>
            <w:u w:val="single"/>
            <w:lang w:eastAsia="sv-SE"/>
          </w:rPr>
          <w:t>http://www.sciencedirect.com/science/article/pii/B9780750635455500091</w:t>
        </w:r>
      </w:hyperlink>
      <w:r w:rsidRPr="003370B5">
        <w:rPr>
          <w:rFonts w:ascii="Arial" w:eastAsia="Times New Roman" w:hAnsi="Arial" w:cs="Arial"/>
          <w:color w:val="252525"/>
          <w:lang w:eastAsia="sv-SE"/>
        </w:rPr>
        <w:t xml:space="preserve"> </w:t>
      </w:r>
      <w:r w:rsidRPr="003370B5">
        <w:rPr>
          <w:rFonts w:ascii="Arial" w:eastAsia="Times New Roman" w:hAnsi="Arial" w:cs="Arial"/>
          <w:color w:val="000000"/>
          <w:lang w:eastAsia="sv-SE"/>
        </w:rPr>
        <w:t>[Hämtad 27 sept., 2015]</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 xml:space="preserve">[4] “Moores lag”, (Anonym författare), wikipedia.se, </w:t>
      </w:r>
      <w:r w:rsidRPr="003370B5">
        <w:rPr>
          <w:rFonts w:ascii="Arial" w:eastAsia="Times New Roman" w:hAnsi="Arial" w:cs="Arial"/>
          <w:i/>
          <w:iCs/>
          <w:color w:val="000000"/>
          <w:lang w:eastAsia="sv-SE"/>
        </w:rPr>
        <w:t>2015</w:t>
      </w:r>
      <w:r w:rsidRPr="003370B5">
        <w:rPr>
          <w:rFonts w:ascii="Arial" w:eastAsia="Times New Roman" w:hAnsi="Arial" w:cs="Arial"/>
          <w:color w:val="000000"/>
          <w:lang w:eastAsia="sv-SE"/>
        </w:rPr>
        <w:t xml:space="preserve">, </w:t>
      </w:r>
      <w:hyperlink r:id="rId10" w:history="1">
        <w:r w:rsidRPr="003370B5">
          <w:rPr>
            <w:rFonts w:ascii="Arial" w:eastAsia="Times New Roman" w:hAnsi="Arial" w:cs="Arial"/>
            <w:color w:val="1155CC"/>
            <w:u w:val="single"/>
            <w:lang w:eastAsia="sv-SE"/>
          </w:rPr>
          <w:t>https://sv.wikipedia.org/wiki/Moores_lag</w:t>
        </w:r>
      </w:hyperlink>
      <w:r w:rsidRPr="003370B5">
        <w:rPr>
          <w:rFonts w:ascii="Arial" w:eastAsia="Times New Roman" w:hAnsi="Arial" w:cs="Arial"/>
          <w:color w:val="000000"/>
          <w:lang w:eastAsia="sv-SE"/>
        </w:rPr>
        <w:t xml:space="preserve">, [Hämtad 27 Sept., 2015] </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r w:rsidRPr="003370B5">
        <w:rPr>
          <w:rFonts w:ascii="Arial" w:eastAsia="Times New Roman" w:hAnsi="Arial" w:cs="Arial"/>
          <w:color w:val="000000"/>
          <w:lang w:val="en-US" w:eastAsia="sv-SE"/>
        </w:rPr>
        <w:t xml:space="preserve">[5]W. B. Hance, N. C. Lee, </w:t>
      </w:r>
      <w:r w:rsidRPr="003370B5">
        <w:rPr>
          <w:rFonts w:ascii="Arial" w:eastAsia="Times New Roman" w:hAnsi="Arial" w:cs="Arial"/>
          <w:color w:val="000000"/>
          <w:sz w:val="19"/>
          <w:szCs w:val="19"/>
          <w:lang w:val="en-US" w:eastAsia="sv-SE"/>
        </w:rPr>
        <w:t>"Voiding Mechanisms in SMT," EmeraldInsight,</w:t>
      </w:r>
      <w:r w:rsidRPr="003370B5">
        <w:rPr>
          <w:rFonts w:ascii="Arial" w:eastAsia="Times New Roman" w:hAnsi="Arial" w:cs="Arial"/>
          <w:color w:val="252525"/>
          <w:sz w:val="19"/>
          <w:szCs w:val="19"/>
          <w:lang w:val="en-US" w:eastAsia="sv-SE"/>
        </w:rPr>
        <w:t xml:space="preserve"> 1993;</w:t>
      </w:r>
      <w:hyperlink r:id="rId11" w:history="1">
        <w:r w:rsidRPr="003370B5">
          <w:rPr>
            <w:rFonts w:ascii="Arial" w:eastAsia="Times New Roman" w:hAnsi="Arial" w:cs="Arial"/>
            <w:color w:val="252525"/>
            <w:sz w:val="19"/>
            <w:szCs w:val="19"/>
            <w:lang w:val="en-US" w:eastAsia="sv-SE"/>
          </w:rPr>
          <w:t xml:space="preserve"> </w:t>
        </w:r>
        <w:r w:rsidRPr="003370B5">
          <w:rPr>
            <w:rFonts w:ascii="Arial" w:eastAsia="Times New Roman" w:hAnsi="Arial" w:cs="Arial"/>
            <w:color w:val="1155CC"/>
            <w:sz w:val="19"/>
            <w:szCs w:val="19"/>
            <w:u w:val="single"/>
            <w:lang w:val="en-US" w:eastAsia="sv-SE"/>
          </w:rPr>
          <w:t>http://www.emeraldinsight.com/doi/pdfplus/10.1108/eb037810</w:t>
        </w:r>
      </w:hyperlink>
      <w:r w:rsidRPr="003370B5">
        <w:rPr>
          <w:rFonts w:ascii="Arial" w:eastAsia="Times New Roman" w:hAnsi="Arial" w:cs="Arial"/>
          <w:color w:val="252525"/>
          <w:sz w:val="19"/>
          <w:szCs w:val="19"/>
          <w:lang w:val="en-US" w:eastAsia="sv-SE"/>
        </w:rPr>
        <w:t xml:space="preserve"> [Hämtad 27 sept. 2015].</w:t>
      </w:r>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r w:rsidRPr="003370B5">
        <w:rPr>
          <w:rFonts w:ascii="Arial" w:eastAsia="Times New Roman" w:hAnsi="Arial" w:cs="Arial"/>
          <w:color w:val="000000"/>
          <w:lang w:val="en-US" w:eastAsia="sv-SE"/>
        </w:rPr>
        <w:t>[6]B.H. Robinson, “E-waste: An assessment of global production and environmental impacts,” ScienceDirect, 2009;</w:t>
      </w:r>
      <w:hyperlink r:id="rId12" w:history="1">
        <w:r w:rsidRPr="003370B5">
          <w:rPr>
            <w:rFonts w:ascii="Arial" w:eastAsia="Times New Roman" w:hAnsi="Arial" w:cs="Arial"/>
            <w:color w:val="000000"/>
            <w:lang w:val="en-US" w:eastAsia="sv-SE"/>
          </w:rPr>
          <w:t xml:space="preserve"> </w:t>
        </w:r>
        <w:r w:rsidRPr="003370B5">
          <w:rPr>
            <w:rFonts w:ascii="Arial" w:eastAsia="Times New Roman" w:hAnsi="Arial" w:cs="Arial"/>
            <w:color w:val="1155CC"/>
            <w:u w:val="single"/>
            <w:lang w:val="en-US" w:eastAsia="sv-SE"/>
          </w:rPr>
          <w:t>http://www.sciencedirect.com/science/article/pii/S0048969709009073</w:t>
        </w:r>
      </w:hyperlink>
      <w:r w:rsidRPr="003370B5">
        <w:rPr>
          <w:rFonts w:ascii="Arial" w:eastAsia="Times New Roman" w:hAnsi="Arial" w:cs="Arial"/>
          <w:color w:val="000000"/>
          <w:lang w:val="en-US" w:eastAsia="sv-SE"/>
        </w:rPr>
        <w:t xml:space="preserve"> [Hämtad: 8 sept., 2015]</w:t>
      </w:r>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r w:rsidRPr="003370B5">
        <w:rPr>
          <w:rFonts w:ascii="Arial" w:eastAsia="Times New Roman" w:hAnsi="Arial" w:cs="Arial"/>
          <w:color w:val="000000"/>
          <w:lang w:val="en-US" w:eastAsia="sv-SE"/>
        </w:rPr>
        <w:t xml:space="preserve">[7] “Welcome to the age of the modular gadget”, D.Pierce, wired.com, </w:t>
      </w:r>
      <w:r w:rsidRPr="003370B5">
        <w:rPr>
          <w:rFonts w:ascii="Arial" w:eastAsia="Times New Roman" w:hAnsi="Arial" w:cs="Arial"/>
          <w:i/>
          <w:iCs/>
          <w:color w:val="000000"/>
          <w:lang w:val="en-US" w:eastAsia="sv-SE"/>
        </w:rPr>
        <w:t>2015</w:t>
      </w:r>
      <w:r w:rsidRPr="003370B5">
        <w:rPr>
          <w:rFonts w:ascii="Arial" w:eastAsia="Times New Roman" w:hAnsi="Arial" w:cs="Arial"/>
          <w:color w:val="000000"/>
          <w:lang w:val="en-US" w:eastAsia="sv-SE"/>
        </w:rPr>
        <w:t xml:space="preserve">, </w:t>
      </w:r>
      <w:hyperlink r:id="rId13" w:history="1">
        <w:r w:rsidRPr="003370B5">
          <w:rPr>
            <w:rFonts w:ascii="Arial" w:eastAsia="Times New Roman" w:hAnsi="Arial" w:cs="Arial"/>
            <w:color w:val="1155CC"/>
            <w:u w:val="single"/>
            <w:lang w:val="en-US" w:eastAsia="sv-SE"/>
          </w:rPr>
          <w:t>http://www.wired.com/2015/05/modular-gadgets/</w:t>
        </w:r>
      </w:hyperlink>
      <w:r w:rsidRPr="003370B5">
        <w:rPr>
          <w:rFonts w:ascii="Arial" w:eastAsia="Times New Roman" w:hAnsi="Arial" w:cs="Arial"/>
          <w:color w:val="000000"/>
          <w:lang w:val="en-US" w:eastAsia="sv-SE"/>
        </w:rPr>
        <w:t>, [Hämtad 7 Okt., 2015]</w:t>
      </w:r>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 xml:space="preserve">[8]EUROPAPARLAMENTETS OCH RÅDETS DIREKTIV 2011/65/EU av den 8 juni 2011 om begränsning av användning av vissa farliga ämnen i elektrisk och elektronisk utrustning (omarbetning) (Text av betydelse för EES) [2015] EUT L174/88; </w:t>
      </w:r>
      <w:hyperlink r:id="rId14" w:history="1">
        <w:r w:rsidRPr="003370B5">
          <w:rPr>
            <w:rFonts w:ascii="Arial" w:eastAsia="Times New Roman" w:hAnsi="Arial" w:cs="Arial"/>
            <w:color w:val="1155CC"/>
            <w:u w:val="single"/>
            <w:lang w:eastAsia="sv-SE"/>
          </w:rPr>
          <w:t>http://eur-lex.europa.eu/legal-content/SV/TXT/PDF/?uri=CELEX:02011L0065-20150624&amp;from=EN</w:t>
        </w:r>
      </w:hyperlink>
      <w:r w:rsidRPr="003370B5">
        <w:rPr>
          <w:rFonts w:ascii="Arial" w:eastAsia="Times New Roman" w:hAnsi="Arial" w:cs="Arial"/>
          <w:color w:val="000000"/>
          <w:lang w:eastAsia="sv-SE"/>
        </w:rPr>
        <w:t xml:space="preserve"> [Hämtad: 28 sept. 2015].</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[9]</w:t>
      </w:r>
      <w:r w:rsidRPr="003370B5">
        <w:rPr>
          <w:rFonts w:ascii="Arial" w:eastAsia="Times New Roman" w:hAnsi="Arial" w:cs="Arial"/>
          <w:color w:val="131413"/>
          <w:lang w:eastAsia="sv-SE"/>
        </w:rPr>
        <w:t xml:space="preserve">“Mobilen: Miljöbov eller inte?”, E.Nordling, M.Kristiansen, mobil.se, </w:t>
      </w:r>
      <w:r w:rsidRPr="003370B5">
        <w:rPr>
          <w:rFonts w:ascii="Arial" w:eastAsia="Times New Roman" w:hAnsi="Arial" w:cs="Arial"/>
          <w:i/>
          <w:iCs/>
          <w:color w:val="131413"/>
          <w:lang w:eastAsia="sv-SE"/>
        </w:rPr>
        <w:t>2008</w:t>
      </w:r>
      <w:r w:rsidRPr="003370B5">
        <w:rPr>
          <w:rFonts w:ascii="Arial" w:eastAsia="Times New Roman" w:hAnsi="Arial" w:cs="Arial"/>
          <w:color w:val="131413"/>
          <w:lang w:eastAsia="sv-SE"/>
        </w:rPr>
        <w:t xml:space="preserve">, </w:t>
      </w:r>
      <w:hyperlink r:id="rId15" w:history="1">
        <w:r w:rsidRPr="003370B5">
          <w:rPr>
            <w:rFonts w:ascii="Arial" w:eastAsia="Times New Roman" w:hAnsi="Arial" w:cs="Arial"/>
            <w:color w:val="1155CC"/>
            <w:u w:val="single"/>
            <w:lang w:eastAsia="sv-SE"/>
          </w:rPr>
          <w:t>http://www.mobil.se/nyheter/mobilen-milj-bov-eller-milj-hj-lte</w:t>
        </w:r>
      </w:hyperlink>
      <w:r w:rsidRPr="003370B5">
        <w:rPr>
          <w:rFonts w:ascii="Arial" w:eastAsia="Times New Roman" w:hAnsi="Arial" w:cs="Arial"/>
          <w:color w:val="131413"/>
          <w:lang w:eastAsia="sv-SE"/>
        </w:rPr>
        <w:t>, [Hämtad 1 Okt., 2015]</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r w:rsidRPr="003370B5">
        <w:rPr>
          <w:rFonts w:ascii="Arial" w:eastAsia="Times New Roman" w:hAnsi="Arial" w:cs="Arial"/>
          <w:color w:val="131413"/>
          <w:lang w:val="en-US" w:eastAsia="sv-SE"/>
        </w:rPr>
        <w:t>[10]</w:t>
      </w:r>
      <w:r w:rsidRPr="003370B5">
        <w:rPr>
          <w:rFonts w:ascii="Arial" w:eastAsia="Times New Roman" w:hAnsi="Arial" w:cs="Arial"/>
          <w:color w:val="000000"/>
          <w:lang w:val="en-US" w:eastAsia="sv-SE"/>
        </w:rPr>
        <w:t>E. R. Crandall, “</w:t>
      </w:r>
      <w:r w:rsidRPr="003370B5">
        <w:rPr>
          <w:rFonts w:ascii="Arial" w:eastAsia="Times New Roman" w:hAnsi="Arial" w:cs="Arial"/>
          <w:color w:val="333333"/>
          <w:shd w:val="clear" w:color="auto" w:fill="FFFFFF"/>
          <w:lang w:val="en-US" w:eastAsia="sv-SE"/>
        </w:rPr>
        <w:t xml:space="preserve">Factors Governing Tin Whisker Growth,” </w:t>
      </w:r>
      <w:r w:rsidRPr="003370B5">
        <w:rPr>
          <w:rFonts w:ascii="Arial" w:eastAsia="Times New Roman" w:hAnsi="Arial" w:cs="Arial"/>
          <w:i/>
          <w:iCs/>
          <w:color w:val="333333"/>
          <w:shd w:val="clear" w:color="auto" w:fill="FFFFFF"/>
          <w:lang w:val="en-US" w:eastAsia="sv-SE"/>
        </w:rPr>
        <w:t xml:space="preserve">Springer Link, </w:t>
      </w:r>
      <w:r w:rsidRPr="003370B5">
        <w:rPr>
          <w:rFonts w:ascii="Arial" w:eastAsia="Times New Roman" w:hAnsi="Arial" w:cs="Arial"/>
          <w:color w:val="333333"/>
          <w:shd w:val="clear" w:color="auto" w:fill="FFFFFF"/>
          <w:lang w:val="en-US" w:eastAsia="sv-SE"/>
        </w:rPr>
        <w:t>2013;</w:t>
      </w:r>
      <w:r w:rsidRPr="003370B5">
        <w:rPr>
          <w:rFonts w:ascii="Arial" w:eastAsia="Times New Roman" w:hAnsi="Arial" w:cs="Arial"/>
          <w:i/>
          <w:iCs/>
          <w:color w:val="000000"/>
          <w:lang w:val="en-US" w:eastAsia="sv-SE"/>
        </w:rPr>
        <w:t xml:space="preserve"> </w:t>
      </w:r>
      <w:hyperlink r:id="rId16" w:history="1">
        <w:r w:rsidRPr="003370B5">
          <w:rPr>
            <w:rFonts w:ascii="Arial" w:eastAsia="Times New Roman" w:hAnsi="Arial" w:cs="Arial"/>
            <w:color w:val="1155CC"/>
            <w:u w:val="single"/>
            <w:lang w:val="en-US" w:eastAsia="sv-SE"/>
          </w:rPr>
          <w:t>http://link.springer.com/book/10.1007%2F978-3-319-00470-9</w:t>
        </w:r>
      </w:hyperlink>
      <w:r w:rsidRPr="003370B5">
        <w:rPr>
          <w:rFonts w:ascii="Arial" w:eastAsia="Times New Roman" w:hAnsi="Arial" w:cs="Arial"/>
          <w:color w:val="000000"/>
          <w:lang w:val="en-US" w:eastAsia="sv-SE"/>
        </w:rPr>
        <w:t xml:space="preserve"> [Hämtad 27 sept. 2015]</w:t>
      </w:r>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 xml:space="preserve">[11]  “Whisker Failures,” </w:t>
      </w:r>
      <w:r w:rsidRPr="003370B5">
        <w:rPr>
          <w:rFonts w:ascii="Arial" w:eastAsia="Times New Roman" w:hAnsi="Arial" w:cs="Arial"/>
          <w:i/>
          <w:iCs/>
          <w:color w:val="000000"/>
          <w:lang w:eastAsia="sv-SE"/>
        </w:rPr>
        <w:t>nepp.nasa.gov, 2009,</w:t>
      </w:r>
      <w:r w:rsidRPr="003370B5">
        <w:rPr>
          <w:rFonts w:ascii="Arial" w:eastAsia="Times New Roman" w:hAnsi="Arial" w:cs="Arial"/>
          <w:color w:val="000000"/>
          <w:lang w:eastAsia="sv-SE"/>
        </w:rPr>
        <w:t xml:space="preserve"> </w:t>
      </w:r>
      <w:hyperlink r:id="rId17" w:history="1">
        <w:r w:rsidRPr="003370B5">
          <w:rPr>
            <w:rFonts w:ascii="Arial" w:eastAsia="Times New Roman" w:hAnsi="Arial" w:cs="Arial"/>
            <w:color w:val="1155CC"/>
            <w:u w:val="single"/>
            <w:lang w:eastAsia="sv-SE"/>
          </w:rPr>
          <w:t>http://nepp.nasa.gov/whisker/failures/</w:t>
        </w:r>
      </w:hyperlink>
      <w:r w:rsidRPr="003370B5">
        <w:rPr>
          <w:rFonts w:ascii="Arial" w:eastAsia="Times New Roman" w:hAnsi="Arial" w:cs="Arial"/>
          <w:color w:val="000000"/>
          <w:lang w:eastAsia="sv-SE"/>
        </w:rPr>
        <w:t xml:space="preserve"> [Hämtad: 07 okt. 2015]</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r w:rsidRPr="003370B5">
        <w:rPr>
          <w:rFonts w:ascii="Arial" w:eastAsia="Times New Roman" w:hAnsi="Arial" w:cs="Arial"/>
          <w:color w:val="000000"/>
          <w:lang w:val="en-US" w:eastAsia="sv-SE"/>
        </w:rPr>
        <w:t>[12] J. M. V. Navazo  et al., “Material flow analysis and energy requirements of mobile phone material recovery processes,”Int J Life Cycle Assess, 19:567–579,</w:t>
      </w:r>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r w:rsidRPr="003370B5">
        <w:rPr>
          <w:rFonts w:ascii="Arial" w:eastAsia="Times New Roman" w:hAnsi="Arial" w:cs="Arial"/>
          <w:color w:val="000000"/>
          <w:lang w:val="en-US" w:eastAsia="sv-SE"/>
        </w:rPr>
        <w:t>DOI 10.1007/s11367-013-0653-6, 2014;</w:t>
      </w:r>
      <w:hyperlink r:id="rId18" w:history="1">
        <w:r w:rsidRPr="003370B5">
          <w:rPr>
            <w:rFonts w:ascii="Arial" w:eastAsia="Times New Roman" w:hAnsi="Arial" w:cs="Arial"/>
            <w:color w:val="1155CC"/>
            <w:u w:val="single"/>
            <w:lang w:val="en-US" w:eastAsia="sv-SE"/>
          </w:rPr>
          <w:t xml:space="preserve"> http://search.proquest.com/</w:t>
        </w:r>
      </w:hyperlink>
      <w:r w:rsidRPr="003370B5">
        <w:rPr>
          <w:rFonts w:ascii="Arial" w:eastAsia="Times New Roman" w:hAnsi="Arial" w:cs="Arial"/>
          <w:color w:val="000000"/>
          <w:lang w:val="en-US" w:eastAsia="sv-SE"/>
        </w:rPr>
        <w:t>;</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[Hämtad: 08 sep 2015].</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 xml:space="preserve">[13]“Mobiltelefonen”,P.Du Rietz, tekniskamuseet.se, </w:t>
      </w:r>
      <w:r w:rsidRPr="003370B5">
        <w:rPr>
          <w:rFonts w:ascii="Arial" w:eastAsia="Times New Roman" w:hAnsi="Arial" w:cs="Arial"/>
          <w:i/>
          <w:iCs/>
          <w:color w:val="000000"/>
          <w:lang w:eastAsia="sv-SE"/>
        </w:rPr>
        <w:t>2012</w:t>
      </w:r>
      <w:r w:rsidRPr="003370B5">
        <w:rPr>
          <w:rFonts w:ascii="Arial" w:eastAsia="Times New Roman" w:hAnsi="Arial" w:cs="Arial"/>
          <w:color w:val="000000"/>
          <w:lang w:eastAsia="sv-SE"/>
        </w:rPr>
        <w:t xml:space="preserve">, </w:t>
      </w:r>
      <w:hyperlink r:id="rId19" w:history="1">
        <w:r w:rsidRPr="003370B5">
          <w:rPr>
            <w:rFonts w:ascii="Arial" w:eastAsia="Times New Roman" w:hAnsi="Arial" w:cs="Arial"/>
            <w:color w:val="1155CC"/>
            <w:u w:val="single"/>
            <w:lang w:eastAsia="sv-SE"/>
          </w:rPr>
          <w:t>http://www.tekniskamuseet.se/1/968.html</w:t>
        </w:r>
      </w:hyperlink>
      <w:r w:rsidRPr="003370B5">
        <w:rPr>
          <w:rFonts w:ascii="Arial" w:eastAsia="Times New Roman" w:hAnsi="Arial" w:cs="Arial"/>
          <w:color w:val="000000"/>
          <w:lang w:eastAsia="sv-SE"/>
        </w:rPr>
        <w:t>, [Hämtad 7 Okt., 2015]</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[14]EUROPAPARLAMENTETS OCH RÅDETS DIREKTIV 2012/19/EU av den 4 juli 2012 om avfall som utgörs av eller innehåller elektrisk och elektronisk utrustning (WEEE) (omarbetning) (Text av betydelse för EES) [2012] EUT L197/38;  </w:t>
      </w:r>
      <w:hyperlink r:id="rId20" w:history="1">
        <w:r w:rsidRPr="003370B5">
          <w:rPr>
            <w:rFonts w:ascii="Arial" w:eastAsia="Times New Roman" w:hAnsi="Arial" w:cs="Arial"/>
            <w:color w:val="1155CC"/>
            <w:u w:val="single"/>
            <w:lang w:eastAsia="sv-SE"/>
          </w:rPr>
          <w:t>http://eur-lex.europa.eu/legal-content/SV/TXT/PDF/?uri=CELEX:32012L0019&amp;from=EN</w:t>
        </w:r>
      </w:hyperlink>
      <w:r w:rsidRPr="003370B5">
        <w:rPr>
          <w:rFonts w:ascii="Arial" w:eastAsia="Times New Roman" w:hAnsi="Arial" w:cs="Arial"/>
          <w:color w:val="000000"/>
          <w:lang w:eastAsia="sv-SE"/>
        </w:rPr>
        <w:t xml:space="preserve">  [Hämtad: 28 sept. 2015]</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r w:rsidRPr="003370B5">
        <w:rPr>
          <w:rFonts w:ascii="Arial" w:eastAsia="Times New Roman" w:hAnsi="Arial" w:cs="Arial"/>
          <w:color w:val="000000"/>
          <w:lang w:val="en-US" w:eastAsia="sv-SE"/>
        </w:rPr>
        <w:t>[15] A. Geim och P. Kim, “Carbon Wonderland," Scientific American, apr. 2008; http://www.condmat.physics.manchester.ac.uk/pdf/mesoscopic/news/graphene/SciAm_2008.pdf [Hämtad: 22 Sep 2015 ].</w:t>
      </w:r>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[16] B. Forsman, ”Tunnare än ett blyertsstreck,”</w:t>
      </w:r>
      <w:hyperlink r:id="rId21" w:history="1">
        <w:r w:rsidRPr="003370B5">
          <w:rPr>
            <w:rFonts w:ascii="Arial" w:eastAsia="Times New Roman" w:hAnsi="Arial" w:cs="Arial"/>
            <w:color w:val="000000"/>
            <w:lang w:eastAsia="sv-SE"/>
          </w:rPr>
          <w:t xml:space="preserve"> </w:t>
        </w:r>
        <w:r w:rsidRPr="003370B5">
          <w:rPr>
            <w:rFonts w:ascii="Arial" w:eastAsia="Times New Roman" w:hAnsi="Arial" w:cs="Arial"/>
            <w:color w:val="1155CC"/>
            <w:u w:val="single"/>
            <w:lang w:eastAsia="sv-SE"/>
          </w:rPr>
          <w:t>chalmers.se</w:t>
        </w:r>
      </w:hyperlink>
      <w:r w:rsidRPr="003370B5">
        <w:rPr>
          <w:rFonts w:ascii="Arial" w:eastAsia="Times New Roman" w:hAnsi="Arial" w:cs="Arial"/>
          <w:color w:val="000000"/>
          <w:lang w:eastAsia="sv-SE"/>
        </w:rPr>
        <w:t>, 2012; http://www.chalmers.se/sv/centrum/graphene/nyheter/Sidor/Grafen.aspx [Hämtad: 22 Sep 2015].</w:t>
      </w:r>
    </w:p>
    <w:p w:rsidR="003370B5" w:rsidRPr="003370B5" w:rsidRDefault="003370B5" w:rsidP="003370B5">
      <w:pPr>
        <w:spacing w:after="0" w:line="240" w:lineRule="auto"/>
        <w:rPr>
          <w:rFonts w:ascii="Times New Roman" w:eastAsia="Times New Roman" w:hAnsi="Times New Roman" w:cs="Times New Roman"/>
          <w:sz w:val="24"/>
          <w:szCs w:val="24"/>
          <w:lang w:eastAsia="sv-SE"/>
        </w:rPr>
      </w:pPr>
    </w:p>
    <w:p w:rsidR="003370B5" w:rsidRPr="003370B5" w:rsidRDefault="003370B5" w:rsidP="003370B5">
      <w:pPr>
        <w:spacing w:after="0" w:line="240" w:lineRule="auto"/>
        <w:rPr>
          <w:rFonts w:ascii="Times New Roman" w:eastAsia="Times New Roman" w:hAnsi="Times New Roman" w:cs="Times New Roman"/>
          <w:sz w:val="24"/>
          <w:szCs w:val="24"/>
          <w:lang w:eastAsia="sv-SE"/>
        </w:rPr>
      </w:pPr>
      <w:r w:rsidRPr="003370B5">
        <w:rPr>
          <w:rFonts w:ascii="Arial" w:eastAsia="Times New Roman" w:hAnsi="Arial" w:cs="Arial"/>
          <w:color w:val="000000"/>
          <w:lang w:eastAsia="sv-SE"/>
        </w:rPr>
        <w:t>[17] A. B. Heieraas, ”Grafenbaserad högfrekvenselektronik, Chalmers.se, 2013;</w:t>
      </w:r>
      <w:hyperlink r:id="rId22" w:history="1">
        <w:r w:rsidRPr="003370B5">
          <w:rPr>
            <w:rFonts w:ascii="Arial" w:eastAsia="Times New Roman" w:hAnsi="Arial" w:cs="Arial"/>
            <w:color w:val="000000"/>
            <w:lang w:eastAsia="sv-SE"/>
          </w:rPr>
          <w:t xml:space="preserve"> </w:t>
        </w:r>
        <w:r w:rsidRPr="003370B5">
          <w:rPr>
            <w:rFonts w:ascii="Arial" w:eastAsia="Times New Roman" w:hAnsi="Arial" w:cs="Arial"/>
            <w:color w:val="1155CC"/>
            <w:u w:val="single"/>
            <w:lang w:eastAsia="sv-SE"/>
          </w:rPr>
          <w:t>http://www.chalmers.se/sv/centrum/graphene/forskning/centralaprojekt/Sidor/Graphene-based-TeraHertz-Electronics.aspx</w:t>
        </w:r>
      </w:hyperlink>
      <w:r w:rsidRPr="003370B5">
        <w:rPr>
          <w:rFonts w:ascii="Arial" w:eastAsia="Times New Roman" w:hAnsi="Arial" w:cs="Arial"/>
          <w:color w:val="000000"/>
          <w:lang w:eastAsia="sv-SE"/>
        </w:rPr>
        <w:t xml:space="preserve"> [Hämtad: 22 Sep 2015].</w:t>
      </w:r>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r w:rsidRPr="003370B5">
        <w:rPr>
          <w:rFonts w:ascii="Arial" w:eastAsia="Times New Roman" w:hAnsi="Arial" w:cs="Arial"/>
          <w:color w:val="000000"/>
          <w:lang w:val="en-US" w:eastAsia="sv-SE"/>
        </w:rPr>
        <w:t>[18] N. Savage, “Come into the light," Nature, vol.483, nr.7389, ss. S38–S39, mars. 2012. doi:10.1038/483S38a [Hämtad: 22 Sep 2015].</w:t>
      </w:r>
    </w:p>
    <w:p w:rsidR="003370B5" w:rsidRPr="003370B5" w:rsidRDefault="003370B5" w:rsidP="003370B5">
      <w:pPr>
        <w:spacing w:after="0" w:line="240" w:lineRule="auto"/>
        <w:rPr>
          <w:rFonts w:ascii="Times New Roman" w:eastAsia="Times New Roman" w:hAnsi="Times New Roman" w:cs="Times New Roman"/>
          <w:sz w:val="24"/>
          <w:szCs w:val="24"/>
          <w:lang w:val="en-US" w:eastAsia="sv-SE"/>
        </w:rPr>
      </w:pPr>
      <w:r w:rsidRPr="003370B5">
        <w:rPr>
          <w:rFonts w:ascii="Arial" w:eastAsia="Times New Roman" w:hAnsi="Arial" w:cs="Arial"/>
          <w:color w:val="000000"/>
          <w:lang w:val="en-US" w:eastAsia="sv-SE"/>
        </w:rPr>
        <w:t>http://www.nature.com.proxy.lib.chalmers.se/nature/journal/v483/n7389_supp/full/483S38a.html</w:t>
      </w:r>
    </w:p>
    <w:p w:rsidR="00B56280" w:rsidRPr="003370B5" w:rsidRDefault="00B56280">
      <w:pPr>
        <w:rPr>
          <w:lang w:val="en-US"/>
        </w:rPr>
      </w:pPr>
    </w:p>
    <w:sectPr w:rsidR="00B56280" w:rsidRPr="003370B5" w:rsidSect="00F258AC">
      <w:footerReference w:type="default" r:id="rId23"/>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70B5" w:rsidRDefault="003370B5" w:rsidP="003370B5">
      <w:pPr>
        <w:spacing w:after="0" w:line="240" w:lineRule="auto"/>
      </w:pPr>
      <w:r>
        <w:separator/>
      </w:r>
    </w:p>
  </w:endnote>
  <w:endnote w:type="continuationSeparator" w:id="0">
    <w:p w:rsidR="003370B5" w:rsidRDefault="003370B5" w:rsidP="00337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3470732"/>
      <w:docPartObj>
        <w:docPartGallery w:val="Page Numbers (Bottom of Page)"/>
        <w:docPartUnique/>
      </w:docPartObj>
    </w:sdtPr>
    <w:sdtContent>
      <w:p w:rsidR="00F258AC" w:rsidRDefault="00F258AC">
        <w:pPr>
          <w:pStyle w:val="Footer"/>
          <w:jc w:val="right"/>
        </w:pPr>
        <w:r>
          <w:fldChar w:fldCharType="begin"/>
        </w:r>
        <w:r>
          <w:instrText>PAGE   \* MERGEFORMAT</w:instrText>
        </w:r>
        <w:r>
          <w:fldChar w:fldCharType="separate"/>
        </w:r>
        <w:r w:rsidR="00AC71C2">
          <w:rPr>
            <w:noProof/>
          </w:rPr>
          <w:t>3</w:t>
        </w:r>
        <w:r>
          <w:fldChar w:fldCharType="end"/>
        </w:r>
      </w:p>
    </w:sdtContent>
  </w:sdt>
  <w:p w:rsidR="00F258AC" w:rsidRDefault="00F258AC" w:rsidP="00F258AC">
    <w:pPr>
      <w:pStyle w:val="Footer"/>
      <w:tabs>
        <w:tab w:val="clear" w:pos="4536"/>
        <w:tab w:val="clear" w:pos="9072"/>
        <w:tab w:val="left" w:pos="776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70B5" w:rsidRDefault="003370B5" w:rsidP="003370B5">
      <w:pPr>
        <w:spacing w:after="0" w:line="240" w:lineRule="auto"/>
      </w:pPr>
      <w:r>
        <w:separator/>
      </w:r>
    </w:p>
  </w:footnote>
  <w:footnote w:type="continuationSeparator" w:id="0">
    <w:p w:rsidR="003370B5" w:rsidRDefault="003370B5" w:rsidP="003370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0B5"/>
    <w:rsid w:val="003370B5"/>
    <w:rsid w:val="00AC71C2"/>
    <w:rsid w:val="00B56280"/>
    <w:rsid w:val="00F258A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1E5F5257-5D83-491E-BB87-EC72F3A20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258A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258AC"/>
    <w:pPr>
      <w:keepNext/>
      <w:keepLines/>
      <w:spacing w:before="40" w:after="0"/>
      <w:jc w:val="center"/>
      <w:outlineLvl w:val="1"/>
    </w:pPr>
    <w:rPr>
      <w:rFonts w:asciiTheme="majorHAnsi" w:eastAsiaTheme="majorEastAsia" w:hAnsiTheme="majorHAnsi" w:cstheme="majorBidi"/>
      <w:b/>
      <w:sz w:val="48"/>
      <w:szCs w:val="26"/>
    </w:rPr>
  </w:style>
  <w:style w:type="paragraph" w:styleId="Heading3">
    <w:name w:val="heading 3"/>
    <w:basedOn w:val="Normal"/>
    <w:next w:val="Normal"/>
    <w:link w:val="Heading3Char"/>
    <w:uiPriority w:val="9"/>
    <w:unhideWhenUsed/>
    <w:qFormat/>
    <w:rsid w:val="00AC71C2"/>
    <w:pPr>
      <w:keepNext/>
      <w:keepLines/>
      <w:spacing w:before="40" w:after="0"/>
      <w:outlineLvl w:val="2"/>
    </w:pPr>
    <w:rPr>
      <w:rFonts w:asciiTheme="majorHAnsi" w:eastAsiaTheme="majorEastAsia" w:hAnsiTheme="majorHAnsi" w:cstheme="majorBidi"/>
      <w:color w:val="1F4D78" w:themeColor="accent1" w:themeShade="7F"/>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370B5"/>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styleId="Hyperlink">
    <w:name w:val="Hyperlink"/>
    <w:basedOn w:val="DefaultParagraphFont"/>
    <w:uiPriority w:val="99"/>
    <w:unhideWhenUsed/>
    <w:rsid w:val="003370B5"/>
    <w:rPr>
      <w:color w:val="0000FF"/>
      <w:u w:val="single"/>
    </w:rPr>
  </w:style>
  <w:style w:type="paragraph" w:styleId="Header">
    <w:name w:val="header"/>
    <w:basedOn w:val="Normal"/>
    <w:link w:val="HeaderChar"/>
    <w:uiPriority w:val="99"/>
    <w:unhideWhenUsed/>
    <w:rsid w:val="003370B5"/>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70B5"/>
  </w:style>
  <w:style w:type="paragraph" w:styleId="Footer">
    <w:name w:val="footer"/>
    <w:basedOn w:val="Normal"/>
    <w:link w:val="FooterChar"/>
    <w:uiPriority w:val="99"/>
    <w:unhideWhenUsed/>
    <w:rsid w:val="003370B5"/>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70B5"/>
  </w:style>
  <w:style w:type="paragraph" w:styleId="Title">
    <w:name w:val="Title"/>
    <w:basedOn w:val="Normal"/>
    <w:next w:val="Normal"/>
    <w:link w:val="TitleChar"/>
    <w:uiPriority w:val="10"/>
    <w:qFormat/>
    <w:rsid w:val="00F258A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58AC"/>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258AC"/>
    <w:rPr>
      <w:rFonts w:asciiTheme="majorHAnsi" w:eastAsiaTheme="majorEastAsia" w:hAnsiTheme="majorHAnsi" w:cstheme="majorBidi"/>
      <w:b/>
      <w:sz w:val="48"/>
      <w:szCs w:val="26"/>
    </w:rPr>
  </w:style>
  <w:style w:type="character" w:customStyle="1" w:styleId="Heading1Char">
    <w:name w:val="Heading 1 Char"/>
    <w:basedOn w:val="DefaultParagraphFont"/>
    <w:link w:val="Heading1"/>
    <w:uiPriority w:val="9"/>
    <w:rsid w:val="00F258AC"/>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F258AC"/>
    <w:pPr>
      <w:outlineLvl w:val="9"/>
    </w:pPr>
    <w:rPr>
      <w:lang w:val="en-US"/>
    </w:rPr>
  </w:style>
  <w:style w:type="paragraph" w:styleId="TOC2">
    <w:name w:val="toc 2"/>
    <w:basedOn w:val="Normal"/>
    <w:next w:val="Normal"/>
    <w:autoRedefine/>
    <w:uiPriority w:val="39"/>
    <w:unhideWhenUsed/>
    <w:rsid w:val="00F258AC"/>
    <w:pPr>
      <w:spacing w:after="100"/>
      <w:ind w:left="220"/>
    </w:pPr>
  </w:style>
  <w:style w:type="paragraph" w:styleId="TOC1">
    <w:name w:val="toc 1"/>
    <w:basedOn w:val="Normal"/>
    <w:next w:val="Normal"/>
    <w:autoRedefine/>
    <w:uiPriority w:val="39"/>
    <w:unhideWhenUsed/>
    <w:rsid w:val="00F258AC"/>
    <w:pPr>
      <w:spacing w:after="100"/>
    </w:pPr>
  </w:style>
  <w:style w:type="character" w:customStyle="1" w:styleId="Heading3Char">
    <w:name w:val="Heading 3 Char"/>
    <w:basedOn w:val="DefaultParagraphFont"/>
    <w:link w:val="Heading3"/>
    <w:uiPriority w:val="9"/>
    <w:rsid w:val="00AC71C2"/>
    <w:rPr>
      <w:rFonts w:asciiTheme="majorHAnsi" w:eastAsiaTheme="majorEastAsia" w:hAnsiTheme="majorHAnsi" w:cstheme="majorBidi"/>
      <w:color w:val="1F4D78" w:themeColor="accent1" w:themeShade="7F"/>
      <w:sz w:val="28"/>
      <w:szCs w:val="24"/>
    </w:rPr>
  </w:style>
  <w:style w:type="paragraph" w:styleId="TOC3">
    <w:name w:val="toc 3"/>
    <w:basedOn w:val="Normal"/>
    <w:next w:val="Normal"/>
    <w:autoRedefine/>
    <w:uiPriority w:val="39"/>
    <w:unhideWhenUsed/>
    <w:rsid w:val="00AC71C2"/>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1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iencedirect.com/science/article/pii/B9780750635455500091" TargetMode="External"/><Relationship Id="rId13" Type="http://schemas.openxmlformats.org/officeDocument/2006/relationships/hyperlink" Target="http://www.wired.com/2015/05/modular-gadgets/" TargetMode="External"/><Relationship Id="rId18" Type="http://schemas.openxmlformats.org/officeDocument/2006/relationships/hyperlink" Target="http://www.proquest.com/" TargetMode="External"/><Relationship Id="rId3" Type="http://schemas.openxmlformats.org/officeDocument/2006/relationships/webSettings" Target="webSettings.xml"/><Relationship Id="rId21" Type="http://schemas.openxmlformats.org/officeDocument/2006/relationships/hyperlink" Target="http://chalmers.se/" TargetMode="External"/><Relationship Id="rId7" Type="http://schemas.openxmlformats.org/officeDocument/2006/relationships/hyperlink" Target="http://site.ebrary.com/lib/chalmers/detail.action?docID=10411940" TargetMode="External"/><Relationship Id="rId12" Type="http://schemas.openxmlformats.org/officeDocument/2006/relationships/hyperlink" Target="http://www.sciencedirect.com/science/article/pii/S0048969709009073" TargetMode="External"/><Relationship Id="rId17" Type="http://schemas.openxmlformats.org/officeDocument/2006/relationships/hyperlink" Target="http://nepp.nasa.gov/whisker/failures/"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link.springer.com/book/10.1007%2F978-3-319-00470-9" TargetMode="External"/><Relationship Id="rId20" Type="http://schemas.openxmlformats.org/officeDocument/2006/relationships/hyperlink" Target="http://eur-lex.europa.eu/legal-content/SV/TXT/PDF/?uri=CELEX:32012L0019&amp;from=EN" TargetMode="External"/><Relationship Id="rId1" Type="http://schemas.openxmlformats.org/officeDocument/2006/relationships/styles" Target="styles.xml"/><Relationship Id="rId6" Type="http://schemas.openxmlformats.org/officeDocument/2006/relationships/hyperlink" Target="http://chalmers.summon.serialssolutions.com/2.0.0/link/0/eLvHCXMwhV3NS8MwFH-4CeJOOp3WTRnCjnNt0nYtjIGKw4PH3cPSJjgs7bBV_PN9SZvZzqHQS5KmyUual5f38QsAJXf2eIcnSNxW5AqlEemGrhcIhZni0ziWbkwJp7J5QwuYiILSlUM7S7_q60RUSMpvvMR9dlZTYbLMNqWx1XXwwI6n-1agV_D9A90qY5S1MCSejmX1fVx4-FToPCaN21dnlb8h50GuVORqG6ta2GfhbIQuNYTXVp5WGlvNoBcncChUWMMpHIi0C0fG370LnRoi4RmMZnz-kilN32zC50NMoXStPKN1clPCw-bnMFo8LR-fx6ZzjPq2AsVgDUJpD9pplopLGIYRZtk4L3Qau9KJgphLj0pbEOlwElELbmtks89Ek5izCivLdRRomAU3fzdowaAcI7YpQTR26_frI7d9yQvwsDy14EI0881k6nqNkuKrqJX2zLizOEkY8nUUhmyKH7RwFhhf82RdAYMzR10l73vk6j9S-nBcehAoNcwA2sX7h7j--Ru-AWYh3Z0" TargetMode="External"/><Relationship Id="rId11" Type="http://schemas.openxmlformats.org/officeDocument/2006/relationships/hyperlink" Target="http://www.emeraldinsight.com/doi/pdfplus/10.1108/eb037810"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www.mobil.se/nyheter/mobilen-milj-bov-eller-milj-hj-lte" TargetMode="External"/><Relationship Id="rId23" Type="http://schemas.openxmlformats.org/officeDocument/2006/relationships/footer" Target="footer1.xml"/><Relationship Id="rId10" Type="http://schemas.openxmlformats.org/officeDocument/2006/relationships/hyperlink" Target="https://sv.wikipedia.org/wiki/Moores_lag" TargetMode="External"/><Relationship Id="rId19" Type="http://schemas.openxmlformats.org/officeDocument/2006/relationships/hyperlink" Target="http://www.tekniskamuseet.se/1/968.html" TargetMode="External"/><Relationship Id="rId4" Type="http://schemas.openxmlformats.org/officeDocument/2006/relationships/footnotes" Target="footnotes.xml"/><Relationship Id="rId9" Type="http://schemas.openxmlformats.org/officeDocument/2006/relationships/hyperlink" Target="http://www.sciencedirect.com/science/article/pii/B9780750635455500091" TargetMode="External"/><Relationship Id="rId14" Type="http://schemas.openxmlformats.org/officeDocument/2006/relationships/hyperlink" Target="http://eur-lex.europa.eu/legal-content/SV/TXT/PDF/?uri=CELEX:02011L0065-20150624&amp;from=EN" TargetMode="External"/><Relationship Id="rId22" Type="http://schemas.openxmlformats.org/officeDocument/2006/relationships/hyperlink" Target="http://www.chalmers.se/sv/centrum/graphene/forskning/centralaprojekt/Sidor/Graphene-based-TeraHertz-Electronic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D5A4B9B6</Template>
  <TotalTime>26</TotalTime>
  <Pages>13</Pages>
  <Words>4363</Words>
  <Characters>23130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Chalmers</Company>
  <LinksUpToDate>false</LinksUpToDate>
  <CharactersWithSpaces>27439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Bornfleth</dc:creator>
  <cp:keywords/>
  <dc:description/>
  <cp:lastModifiedBy>Benjamin Bornfleth</cp:lastModifiedBy>
  <cp:revision>1</cp:revision>
  <dcterms:created xsi:type="dcterms:W3CDTF">2015-10-14T10:30:00Z</dcterms:created>
  <dcterms:modified xsi:type="dcterms:W3CDTF">2015-10-14T10:56:00Z</dcterms:modified>
</cp:coreProperties>
</file>